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overflowPunct w:val="0"/>
        <w:autoSpaceDE/>
        <w:autoSpaceDN/>
        <w:spacing w:line="570" w:lineRule="exact"/>
        <w:jc w:val="center"/>
        <w:rPr>
          <w:rFonts w:hint="eastAsia" w:ascii="方正小标宋_GBK" w:hAnsi="方正小标宋_GBK" w:eastAsia="方正小标宋_GBK" w:cs="方正小标宋_GBK"/>
          <w:sz w:val="36"/>
          <w:szCs w:val="36"/>
          <w:lang w:eastAsia="zh-CN"/>
        </w:rPr>
      </w:pPr>
      <w:bookmarkStart w:id="0" w:name="OLE_LINK33"/>
      <w:bookmarkStart w:id="1" w:name="OLE_LINK32"/>
      <w:r>
        <w:rPr>
          <w:rFonts w:hint="eastAsia" w:ascii="方正小标宋_GBK" w:hAnsi="方正小标宋_GBK" w:eastAsia="方正小标宋_GBK" w:cs="方正小标宋_GBK"/>
          <w:sz w:val="36"/>
          <w:szCs w:val="36"/>
          <w:lang w:eastAsia="zh-CN"/>
        </w:rPr>
        <w:t>玉林市中小企业数字化转型专项资金管理办法</w:t>
      </w:r>
      <w:bookmarkEnd w:id="0"/>
      <w:bookmarkEnd w:id="1"/>
      <w:r>
        <w:rPr>
          <w:rFonts w:hint="eastAsia" w:ascii="方正小标宋_GBK" w:hAnsi="方正小标宋_GBK" w:eastAsia="方正小标宋_GBK" w:cs="方正小标宋_GBK"/>
          <w:sz w:val="36"/>
          <w:szCs w:val="36"/>
          <w:lang w:eastAsia="zh-CN"/>
        </w:rPr>
        <w:t>（试行）</w:t>
      </w:r>
    </w:p>
    <w:p>
      <w:pPr>
        <w:widowControl w:val="0"/>
        <w:kinsoku/>
        <w:overflowPunct w:val="0"/>
        <w:autoSpaceDE/>
        <w:autoSpaceDN/>
        <w:spacing w:line="570" w:lineRule="exact"/>
        <w:jc w:val="center"/>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（征求意见稿）</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p>
    <w:p>
      <w:pPr>
        <w:widowControl w:val="0"/>
        <w:kinsoku/>
        <w:overflowPunct w:val="0"/>
        <w:autoSpaceDE/>
        <w:autoSpaceDN/>
        <w:spacing w:line="570" w:lineRule="exact"/>
        <w:jc w:val="center"/>
        <w:outlineLvl w:val="0"/>
        <w:rPr>
          <w:rFonts w:ascii="黑体" w:hAnsi="黑体" w:eastAsia="黑体" w:cs="黑体"/>
          <w:sz w:val="32"/>
          <w:szCs w:val="32"/>
          <w:lang w:eastAsia="zh-CN"/>
        </w:rPr>
      </w:pPr>
      <w:r>
        <w:rPr>
          <w:rFonts w:hint="eastAsia" w:ascii="黑体" w:hAnsi="黑体" w:eastAsia="黑体" w:cs="黑体"/>
          <w:sz w:val="32"/>
          <w:szCs w:val="32"/>
          <w:lang w:eastAsia="zh-CN"/>
        </w:rPr>
        <w:t>第一章 总则</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第一条</w:t>
      </w:r>
      <w:r>
        <w:rPr>
          <w:rFonts w:hint="eastAsia" w:ascii="Times New Roman" w:hAnsi="Times New Roman" w:eastAsia="仿宋_GB2312" w:cs="仿宋_GB2312"/>
          <w:sz w:val="32"/>
          <w:szCs w:val="32"/>
          <w:lang w:eastAsia="zh-CN"/>
        </w:rPr>
        <w:t xml:space="preserve"> 为深入贯彻国家关于支持中小企业创新发展、加快中小企业数字化转型决策部署，充分发挥中小企业数字化专项资金对玉林市中小企业数字化转型支持和引导作用，依据《中小企业发展专项资金管理办法》（财建〔2021〕148号）、《关于开展中小企业数字化转型城市试点工作的通知》（财建〔2023〕117号）等有关文件要求，结合我市实际制定本办法。</w:t>
      </w: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第二条</w:t>
      </w:r>
      <w:r>
        <w:rPr>
          <w:rFonts w:hint="eastAsia" w:ascii="Times New Roman" w:hAnsi="Times New Roman" w:eastAsia="仿宋_GB2312" w:cs="仿宋_GB2312"/>
          <w:sz w:val="32"/>
          <w:szCs w:val="32"/>
          <w:lang w:eastAsia="zh-CN"/>
        </w:rPr>
        <w:t xml:space="preserve"> 本办法所称的中小企业数字化转型专项资金（以下简称“专项资金”），是指按照《关于开展中小企业数字化转型城市试点工作的通知》（财建〔2023〕117号）由中央财政支持我市中小企业数字化转型城市试点工作的奖补资金（以下简称“中央</w:t>
      </w:r>
      <w:r>
        <w:rPr>
          <w:rFonts w:hint="eastAsia" w:ascii="仿宋_GB2312" w:eastAsia="仿宋_GB2312"/>
          <w:sz w:val="32"/>
          <w:szCs w:val="32"/>
          <w:lang w:eastAsia="zh-CN"/>
        </w:rPr>
        <w:t>财政</w:t>
      </w:r>
      <w:r>
        <w:rPr>
          <w:rFonts w:hint="eastAsia" w:ascii="Times New Roman" w:hAnsi="Times New Roman" w:eastAsia="仿宋_GB2312" w:cs="仿宋_GB2312"/>
          <w:sz w:val="32"/>
          <w:szCs w:val="32"/>
          <w:lang w:eastAsia="zh-CN"/>
        </w:rPr>
        <w:t>资金”）和自治区、市配套用于支持我市开展工业企业数字化转型工作的相关资金（以下简称“地方配套资金”）。中央</w:t>
      </w:r>
      <w:r>
        <w:rPr>
          <w:rFonts w:hint="eastAsia" w:ascii="仿宋_GB2312" w:eastAsia="仿宋_GB2312"/>
          <w:sz w:val="32"/>
          <w:szCs w:val="32"/>
          <w:lang w:eastAsia="zh-CN"/>
        </w:rPr>
        <w:t>财政</w:t>
      </w:r>
      <w:r>
        <w:rPr>
          <w:rFonts w:hint="eastAsia" w:ascii="Times New Roman" w:hAnsi="Times New Roman" w:eastAsia="仿宋_GB2312" w:cs="仿宋_GB2312"/>
          <w:sz w:val="32"/>
          <w:szCs w:val="32"/>
          <w:lang w:eastAsia="zh-CN"/>
        </w:rPr>
        <w:t>资金和地方配套资金统筹使用，共同支持企业数字化转型工作。</w:t>
      </w: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第三条</w:t>
      </w:r>
      <w:r>
        <w:rPr>
          <w:rFonts w:hint="eastAsia" w:ascii="Times New Roman" w:hAnsi="Times New Roman" w:eastAsia="仿宋_GB2312" w:cs="仿宋_GB2312"/>
          <w:sz w:val="32"/>
          <w:szCs w:val="32"/>
          <w:lang w:eastAsia="zh-CN"/>
        </w:rPr>
        <w:t xml:space="preserve"> 按照中央财政对试点城市定额奖励资金使用的要求，专项资金的使用和管理遵循“专款专用、统筹安排、重点突出、公开透明、强化监督”的原则，按照“企业出一点、服务商让一</w:t>
      </w:r>
      <w:r>
        <w:rPr>
          <w:rFonts w:hint="eastAsia" w:ascii="Times New Roman" w:hAnsi="Times New Roman" w:eastAsia="仿宋_GB2312" w:cs="仿宋_GB2312"/>
          <w:spacing w:val="6"/>
          <w:sz w:val="32"/>
          <w:szCs w:val="32"/>
          <w:lang w:eastAsia="zh-CN"/>
        </w:rPr>
        <w:t>点、政府补一点”的思路，充分体现出专项资金的引导和带动作用。</w:t>
      </w:r>
    </w:p>
    <w:p>
      <w:pPr>
        <w:widowControl w:val="0"/>
        <w:kinsoku/>
        <w:overflowPunct w:val="0"/>
        <w:autoSpaceDE/>
        <w:autoSpaceDN/>
        <w:spacing w:line="570" w:lineRule="exact"/>
        <w:jc w:val="center"/>
        <w:outlineLvl w:val="0"/>
        <w:rPr>
          <w:rFonts w:ascii="黑体" w:hAnsi="黑体" w:eastAsia="黑体" w:cs="黑体"/>
          <w:sz w:val="32"/>
          <w:szCs w:val="32"/>
          <w:lang w:eastAsia="zh-CN"/>
        </w:rPr>
      </w:pPr>
      <w:r>
        <w:rPr>
          <w:rFonts w:hint="eastAsia" w:ascii="黑体" w:hAnsi="黑体" w:eastAsia="黑体" w:cs="黑体"/>
          <w:sz w:val="32"/>
          <w:szCs w:val="32"/>
          <w:lang w:eastAsia="zh-CN"/>
        </w:rPr>
        <w:t>第二章 支持范围</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eastAsia="仿宋_GB2312"/>
          <w:sz w:val="32"/>
          <w:szCs w:val="32"/>
          <w:lang w:eastAsia="zh-CN"/>
        </w:rPr>
        <w:t xml:space="preserve"> 专项资金</w:t>
      </w:r>
      <w:r>
        <w:rPr>
          <w:rFonts w:hint="eastAsia" w:ascii="Times New Roman" w:hAnsi="Times New Roman" w:eastAsia="仿宋_GB2312" w:cs="仿宋_GB2312"/>
          <w:sz w:val="32"/>
          <w:szCs w:val="32"/>
          <w:lang w:eastAsia="zh-CN"/>
        </w:rPr>
        <w:t>支持对象：在玉林市域内登记注册、具有独立法人资格，经营范围符合“内燃机及其零部件制造、电子材料及元器件制造、食品加工及食品制造、纺织服装及皮具制造”试点行业划分要求的中小企业，以及提供中小企业数字化转型相关配套服务的服务商。中小企业划分标准按照《关于印发中小企业划型标准规定的通知》（工信部联企业〔2011〕300号）执行。</w:t>
      </w:r>
    </w:p>
    <w:p>
      <w:pPr>
        <w:widowControl w:val="0"/>
        <w:kinsoku/>
        <w:overflowPunct w:val="0"/>
        <w:autoSpaceDE/>
        <w:autoSpaceDN/>
        <w:spacing w:line="570" w:lineRule="exact"/>
        <w:ind w:firstLine="640" w:firstLineChars="200"/>
        <w:rPr>
          <w:rFonts w:ascii="仿宋_GB2312" w:eastAsia="仿宋_GB2312"/>
          <w:sz w:val="32"/>
          <w:szCs w:val="32"/>
          <w:lang w:eastAsia="zh-CN"/>
        </w:rPr>
      </w:pPr>
      <w:r>
        <w:rPr>
          <w:rFonts w:hint="eastAsia" w:ascii="黑体" w:hAnsi="黑体" w:eastAsia="黑体" w:cs="黑体"/>
          <w:sz w:val="32"/>
          <w:szCs w:val="32"/>
          <w:lang w:eastAsia="zh-CN"/>
        </w:rPr>
        <w:t>第五条</w:t>
      </w:r>
      <w:r>
        <w:rPr>
          <w:rFonts w:hint="eastAsia" w:ascii="仿宋_GB2312" w:eastAsia="仿宋_GB2312"/>
          <w:sz w:val="32"/>
          <w:szCs w:val="32"/>
          <w:lang w:eastAsia="zh-CN"/>
        </w:rPr>
        <w:t xml:space="preserve"> 中央财政资金支持范围：</w:t>
      </w:r>
    </w:p>
    <w:p>
      <w:pPr>
        <w:widowControl w:val="0"/>
        <w:kinsoku/>
        <w:overflowPunct w:val="0"/>
        <w:autoSpaceDE/>
        <w:autoSpaceDN/>
        <w:spacing w:line="570" w:lineRule="exact"/>
        <w:ind w:firstLine="640" w:firstLineChars="200"/>
        <w:rPr>
          <w:rFonts w:ascii="仿宋_GB2312" w:eastAsia="仿宋_GB2312"/>
          <w:sz w:val="32"/>
          <w:szCs w:val="32"/>
          <w:lang w:eastAsia="zh-CN"/>
        </w:rPr>
      </w:pPr>
      <w:r>
        <w:rPr>
          <w:rFonts w:hint="eastAsia" w:ascii="楷体_GB2312" w:hAnsi="楷体_GB2312" w:eastAsia="楷体_GB2312" w:cs="楷体_GB2312"/>
          <w:sz w:val="32"/>
          <w:szCs w:val="32"/>
          <w:lang w:eastAsia="zh-CN"/>
        </w:rPr>
        <w:t>（一）</w:t>
      </w:r>
      <w:r>
        <w:rPr>
          <w:rFonts w:hint="eastAsia" w:ascii="仿宋_GB2312" w:eastAsia="仿宋_GB2312"/>
          <w:sz w:val="32"/>
          <w:szCs w:val="32"/>
          <w:lang w:eastAsia="zh-CN"/>
        </w:rPr>
        <w:t>试点行业中小企业数字化改造相关的软件、云服务支出，网关、路由等必要的数据采集传输设备支出，咨询诊断等服务支出奖补；</w:t>
      </w:r>
    </w:p>
    <w:p>
      <w:pPr>
        <w:widowControl w:val="0"/>
        <w:kinsoku/>
        <w:overflowPunct w:val="0"/>
        <w:autoSpaceDE/>
        <w:autoSpaceDN/>
        <w:spacing w:line="570" w:lineRule="exact"/>
        <w:ind w:firstLine="640" w:firstLineChars="200"/>
        <w:rPr>
          <w:rFonts w:ascii="仿宋_GB2312" w:eastAsia="仿宋_GB2312"/>
          <w:sz w:val="32"/>
          <w:szCs w:val="32"/>
          <w:lang w:eastAsia="zh-CN"/>
        </w:rPr>
      </w:pPr>
      <w:r>
        <w:rPr>
          <w:rFonts w:hint="eastAsia" w:ascii="楷体_GB2312" w:hAnsi="楷体_GB2312" w:eastAsia="楷体_GB2312" w:cs="楷体_GB2312"/>
          <w:sz w:val="32"/>
          <w:szCs w:val="32"/>
          <w:lang w:eastAsia="zh-CN"/>
        </w:rPr>
        <w:t>（二）</w:t>
      </w:r>
      <w:r>
        <w:rPr>
          <w:rFonts w:ascii="仿宋_GB2312" w:eastAsia="仿宋_GB2312"/>
          <w:sz w:val="32"/>
          <w:szCs w:val="32"/>
          <w:lang w:eastAsia="zh-CN"/>
        </w:rPr>
        <w:t>优秀</w:t>
      </w:r>
      <w:r>
        <w:rPr>
          <w:rFonts w:hint="eastAsia" w:ascii="仿宋_GB2312" w:eastAsia="仿宋_GB2312"/>
          <w:sz w:val="32"/>
          <w:szCs w:val="32"/>
          <w:lang w:eastAsia="zh-CN"/>
        </w:rPr>
        <w:t>数字化转型</w:t>
      </w:r>
      <w:r>
        <w:rPr>
          <w:rFonts w:ascii="仿宋_GB2312" w:eastAsia="仿宋_GB2312"/>
          <w:sz w:val="32"/>
          <w:szCs w:val="32"/>
          <w:lang w:eastAsia="zh-CN"/>
        </w:rPr>
        <w:t>服务</w:t>
      </w:r>
      <w:r>
        <w:rPr>
          <w:rFonts w:hint="eastAsia" w:ascii="仿宋_GB2312" w:eastAsia="仿宋_GB2312"/>
          <w:sz w:val="32"/>
          <w:szCs w:val="32"/>
          <w:lang w:eastAsia="zh-CN"/>
        </w:rPr>
        <w:t>商奖励，优质</w:t>
      </w:r>
      <w:r>
        <w:rPr>
          <w:rFonts w:ascii="仿宋_GB2312" w:eastAsia="仿宋_GB2312"/>
          <w:sz w:val="32"/>
          <w:szCs w:val="32"/>
          <w:lang w:eastAsia="zh-CN"/>
        </w:rPr>
        <w:t>“小快轻准”产品</w:t>
      </w:r>
      <w:r>
        <w:rPr>
          <w:rFonts w:hint="eastAsia" w:ascii="仿宋_GB2312" w:eastAsia="仿宋_GB2312"/>
          <w:sz w:val="32"/>
          <w:szCs w:val="32"/>
          <w:lang w:eastAsia="zh-CN"/>
        </w:rPr>
        <w:t>及解决方案培育；</w:t>
      </w:r>
    </w:p>
    <w:p>
      <w:pPr>
        <w:widowControl w:val="0"/>
        <w:kinsoku/>
        <w:overflowPunct w:val="0"/>
        <w:autoSpaceDE/>
        <w:autoSpaceDN/>
        <w:spacing w:line="570" w:lineRule="exact"/>
        <w:ind w:firstLine="640" w:firstLineChars="200"/>
        <w:rPr>
          <w:rFonts w:ascii="仿宋_GB2312" w:eastAsia="仿宋_GB2312"/>
          <w:sz w:val="32"/>
          <w:szCs w:val="32"/>
          <w:lang w:eastAsia="zh-CN"/>
        </w:rPr>
      </w:pPr>
      <w:r>
        <w:rPr>
          <w:rFonts w:hint="eastAsia" w:ascii="楷体_GB2312" w:hAnsi="楷体_GB2312" w:eastAsia="楷体_GB2312" w:cs="楷体_GB2312"/>
          <w:sz w:val="32"/>
          <w:szCs w:val="32"/>
          <w:lang w:eastAsia="zh-CN"/>
        </w:rPr>
        <w:t>（三）</w:t>
      </w:r>
      <w:r>
        <w:rPr>
          <w:rFonts w:hint="eastAsia" w:ascii="仿宋_GB2312" w:eastAsia="仿宋_GB2312"/>
          <w:sz w:val="32"/>
          <w:szCs w:val="32"/>
          <w:lang w:eastAsia="zh-CN"/>
        </w:rPr>
        <w:t>中小企业数字化改造项目全过程</w:t>
      </w:r>
      <w:r>
        <w:rPr>
          <w:rFonts w:ascii="仿宋_GB2312" w:eastAsia="仿宋_GB2312"/>
          <w:sz w:val="32"/>
          <w:szCs w:val="32"/>
          <w:lang w:eastAsia="zh-CN"/>
        </w:rPr>
        <w:t>监理</w:t>
      </w:r>
      <w:r>
        <w:rPr>
          <w:rFonts w:hint="eastAsia" w:ascii="仿宋_GB2312" w:eastAsia="仿宋_GB2312"/>
          <w:sz w:val="32"/>
          <w:szCs w:val="32"/>
          <w:lang w:eastAsia="zh-CN"/>
        </w:rPr>
        <w:t>，中小企业数字化改造项目专项审计，中小企业</w:t>
      </w:r>
      <w:r>
        <w:rPr>
          <w:rFonts w:ascii="仿宋_GB2312" w:eastAsia="仿宋_GB2312"/>
          <w:sz w:val="32"/>
          <w:szCs w:val="32"/>
          <w:lang w:eastAsia="zh-CN"/>
        </w:rPr>
        <w:t>数字化水平</w:t>
      </w:r>
      <w:r>
        <w:rPr>
          <w:rFonts w:hint="eastAsia" w:ascii="仿宋_GB2312" w:eastAsia="仿宋_GB2312"/>
          <w:sz w:val="32"/>
          <w:szCs w:val="32"/>
          <w:lang w:eastAsia="zh-CN"/>
        </w:rPr>
        <w:t>第三方评测，中小企业</w:t>
      </w:r>
      <w:r>
        <w:rPr>
          <w:rFonts w:ascii="仿宋_GB2312" w:eastAsia="仿宋_GB2312"/>
          <w:sz w:val="32"/>
          <w:szCs w:val="32"/>
          <w:lang w:eastAsia="zh-CN"/>
        </w:rPr>
        <w:t>数字化</w:t>
      </w:r>
      <w:r>
        <w:rPr>
          <w:rFonts w:hint="eastAsia" w:ascii="仿宋_GB2312" w:eastAsia="仿宋_GB2312"/>
          <w:sz w:val="32"/>
          <w:szCs w:val="32"/>
          <w:lang w:eastAsia="zh-CN"/>
        </w:rPr>
        <w:t>改造项目</w:t>
      </w:r>
      <w:r>
        <w:rPr>
          <w:rFonts w:hint="eastAsia" w:ascii="Times New Roman" w:hAnsi="Times New Roman" w:eastAsia="仿宋_GB2312" w:cs="仿宋_GB2312"/>
          <w:sz w:val="32"/>
          <w:szCs w:val="32"/>
          <w:lang w:eastAsia="zh-CN"/>
        </w:rPr>
        <w:t>专家</w:t>
      </w:r>
      <w:r>
        <w:rPr>
          <w:rFonts w:hint="eastAsia" w:ascii="仿宋_GB2312" w:eastAsia="仿宋_GB2312"/>
          <w:sz w:val="32"/>
          <w:szCs w:val="32"/>
          <w:lang w:eastAsia="zh-CN"/>
        </w:rPr>
        <w:t>验收；</w:t>
      </w:r>
    </w:p>
    <w:p>
      <w:pPr>
        <w:widowControl w:val="0"/>
        <w:kinsoku/>
        <w:overflowPunct w:val="0"/>
        <w:autoSpaceDE/>
        <w:autoSpaceDN/>
        <w:spacing w:line="570" w:lineRule="exact"/>
        <w:ind w:firstLine="640" w:firstLineChars="200"/>
        <w:rPr>
          <w:rFonts w:ascii="Times New Roman" w:hAnsi="Times New Roman" w:eastAsia="仿宋_GB2312"/>
          <w:sz w:val="32"/>
          <w:lang w:eastAsia="zh-CN"/>
        </w:rPr>
      </w:pPr>
      <w:r>
        <w:rPr>
          <w:rFonts w:hint="eastAsia" w:ascii="楷体_GB2312" w:hAnsi="楷体_GB2312" w:eastAsia="楷体_GB2312" w:cs="楷体_GB2312"/>
          <w:sz w:val="32"/>
          <w:szCs w:val="32"/>
          <w:lang w:eastAsia="zh-CN"/>
        </w:rPr>
        <w:t>（四）</w:t>
      </w:r>
      <w:r>
        <w:rPr>
          <w:rFonts w:hint="eastAsia" w:ascii="仿宋_GB2312" w:eastAsia="仿宋_GB2312"/>
          <w:sz w:val="32"/>
          <w:szCs w:val="32"/>
          <w:lang w:eastAsia="zh-CN"/>
        </w:rPr>
        <w:t>试点城市</w:t>
      </w:r>
      <w:r>
        <w:rPr>
          <w:rFonts w:ascii="仿宋_GB2312" w:eastAsia="仿宋_GB2312"/>
          <w:sz w:val="32"/>
          <w:szCs w:val="32"/>
          <w:lang w:eastAsia="zh-CN"/>
        </w:rPr>
        <w:t>实施规划设计及咨询</w:t>
      </w:r>
      <w:r>
        <w:rPr>
          <w:rFonts w:hint="eastAsia" w:ascii="仿宋_GB2312" w:eastAsia="仿宋_GB2312"/>
          <w:sz w:val="32"/>
          <w:szCs w:val="32"/>
          <w:lang w:eastAsia="zh-CN"/>
        </w:rPr>
        <w:t>，中小企业</w:t>
      </w:r>
      <w:r>
        <w:rPr>
          <w:rFonts w:ascii="仿宋_GB2312" w:eastAsia="仿宋_GB2312"/>
          <w:sz w:val="32"/>
          <w:szCs w:val="32"/>
          <w:lang w:eastAsia="zh-CN"/>
        </w:rPr>
        <w:t>数字化转型</w:t>
      </w:r>
      <w:r>
        <w:rPr>
          <w:rFonts w:ascii="Times New Roman" w:hAnsi="Times New Roman" w:eastAsia="仿宋_GB2312"/>
          <w:sz w:val="32"/>
          <w:lang w:eastAsia="zh-CN"/>
        </w:rPr>
        <w:t>公共服务平台</w:t>
      </w:r>
      <w:r>
        <w:rPr>
          <w:rFonts w:hint="eastAsia" w:ascii="仿宋_GB2312" w:eastAsia="仿宋_GB2312"/>
          <w:sz w:val="32"/>
          <w:szCs w:val="32"/>
          <w:lang w:eastAsia="zh-CN"/>
        </w:rPr>
        <w:t>建设及</w:t>
      </w:r>
      <w:r>
        <w:rPr>
          <w:rFonts w:ascii="Times New Roman" w:hAnsi="Times New Roman" w:eastAsia="仿宋_GB2312"/>
          <w:sz w:val="32"/>
          <w:lang w:eastAsia="zh-CN"/>
        </w:rPr>
        <w:t>平台</w:t>
      </w:r>
      <w:r>
        <w:rPr>
          <w:rFonts w:hint="eastAsia" w:ascii="仿宋_GB2312" w:eastAsia="仿宋_GB2312"/>
          <w:sz w:val="32"/>
          <w:szCs w:val="32"/>
          <w:lang w:eastAsia="zh-CN"/>
        </w:rPr>
        <w:t>运营，面向中小企业开展的政策宣贯、</w:t>
      </w:r>
      <w:r>
        <w:rPr>
          <w:rFonts w:ascii="仿宋_GB2312" w:eastAsia="仿宋_GB2312"/>
          <w:sz w:val="32"/>
          <w:szCs w:val="32"/>
          <w:lang w:eastAsia="zh-CN"/>
        </w:rPr>
        <w:t>供需对接、人才培训、宣传推广</w:t>
      </w:r>
      <w:r>
        <w:rPr>
          <w:rFonts w:hint="eastAsia" w:ascii="仿宋_GB2312" w:eastAsia="仿宋_GB2312"/>
          <w:sz w:val="32"/>
          <w:szCs w:val="32"/>
          <w:lang w:eastAsia="zh-CN"/>
        </w:rPr>
        <w:t>等其他公共服务。</w:t>
      </w:r>
    </w:p>
    <w:p>
      <w:pPr>
        <w:widowControl w:val="0"/>
        <w:kinsoku/>
        <w:overflowPunct w:val="0"/>
        <w:autoSpaceDE/>
        <w:autoSpaceDN/>
        <w:spacing w:line="570" w:lineRule="exact"/>
        <w:ind w:firstLine="640" w:firstLineChars="200"/>
        <w:rPr>
          <w:rFonts w:ascii="仿宋_GB2312" w:eastAsia="仿宋_GB2312"/>
          <w:sz w:val="32"/>
          <w:szCs w:val="32"/>
          <w:lang w:eastAsia="zh-CN"/>
        </w:rPr>
      </w:pPr>
      <w:r>
        <w:rPr>
          <w:rFonts w:hint="eastAsia" w:ascii="黑体" w:hAnsi="黑体" w:eastAsia="黑体" w:cs="黑体"/>
          <w:sz w:val="32"/>
          <w:lang w:eastAsia="zh-CN"/>
        </w:rPr>
        <w:t>第六条</w:t>
      </w:r>
      <w:r>
        <w:rPr>
          <w:rFonts w:hint="eastAsia" w:ascii="Times New Roman" w:hAnsi="Times New Roman" w:eastAsia="仿宋_GB2312"/>
          <w:sz w:val="32"/>
          <w:lang w:eastAsia="zh-CN"/>
        </w:rPr>
        <w:t xml:space="preserve"> </w:t>
      </w:r>
      <w:r>
        <w:rPr>
          <w:rFonts w:hint="eastAsia" w:ascii="仿宋_GB2312" w:eastAsia="仿宋_GB2312"/>
          <w:sz w:val="32"/>
          <w:szCs w:val="32"/>
          <w:lang w:eastAsia="zh-CN"/>
        </w:rPr>
        <w:t>地方配套资金支持范围：智能工厂、数字化车间、数字化标杆企业、“链式”转</w:t>
      </w:r>
      <w:r>
        <w:rPr>
          <w:rFonts w:ascii="Times New Roman" w:hAnsi="Times New Roman" w:eastAsia="仿宋_GB2312"/>
          <w:sz w:val="32"/>
          <w:lang w:eastAsia="zh-CN"/>
        </w:rPr>
        <w:t>型</w:t>
      </w:r>
      <w:r>
        <w:rPr>
          <w:rFonts w:hint="eastAsia" w:ascii="Times New Roman" w:hAnsi="Times New Roman" w:eastAsia="仿宋_GB2312"/>
          <w:sz w:val="32"/>
          <w:lang w:eastAsia="zh-CN"/>
        </w:rPr>
        <w:t>、集群（园区）转型、人工智能创新应用场景等数字化转型标杆打造</w:t>
      </w:r>
      <w:r>
        <w:rPr>
          <w:rFonts w:hint="eastAsia" w:ascii="仿宋_GB2312" w:eastAsia="仿宋_GB2312"/>
          <w:sz w:val="32"/>
          <w:szCs w:val="32"/>
          <w:lang w:eastAsia="zh-CN"/>
        </w:rPr>
        <w:t>等。</w:t>
      </w:r>
    </w:p>
    <w:p>
      <w:pPr>
        <w:widowControl w:val="0"/>
        <w:kinsoku/>
        <w:overflowPunct w:val="0"/>
        <w:autoSpaceDE/>
        <w:autoSpaceDN/>
        <w:spacing w:line="570" w:lineRule="exact"/>
        <w:ind w:firstLine="640" w:firstLineChars="200"/>
        <w:rPr>
          <w:rFonts w:ascii="仿宋_GB2312" w:eastAsia="仿宋_GB2312"/>
          <w:sz w:val="32"/>
          <w:szCs w:val="32"/>
          <w:lang w:eastAsia="zh-CN"/>
        </w:rPr>
      </w:pPr>
    </w:p>
    <w:p>
      <w:pPr>
        <w:widowControl w:val="0"/>
        <w:kinsoku/>
        <w:overflowPunct w:val="0"/>
        <w:autoSpaceDE/>
        <w:autoSpaceDN/>
        <w:spacing w:line="570" w:lineRule="exact"/>
        <w:jc w:val="center"/>
        <w:outlineLvl w:val="0"/>
        <w:rPr>
          <w:rFonts w:ascii="黑体" w:hAnsi="黑体" w:eastAsia="黑体" w:cs="黑体"/>
          <w:sz w:val="32"/>
          <w:szCs w:val="32"/>
          <w:lang w:eastAsia="zh-CN"/>
        </w:rPr>
      </w:pPr>
      <w:r>
        <w:rPr>
          <w:rFonts w:hint="eastAsia" w:ascii="黑体" w:hAnsi="黑体" w:eastAsia="黑体" w:cs="黑体"/>
          <w:sz w:val="32"/>
          <w:szCs w:val="32"/>
          <w:lang w:eastAsia="zh-CN"/>
        </w:rPr>
        <w:t>第三章 支持标准</w:t>
      </w:r>
    </w:p>
    <w:p>
      <w:pPr>
        <w:widowControl w:val="0"/>
        <w:kinsoku/>
        <w:overflowPunct w:val="0"/>
        <w:autoSpaceDE/>
        <w:autoSpaceDN/>
        <w:spacing w:line="570" w:lineRule="exact"/>
        <w:ind w:firstLine="640" w:firstLineChars="200"/>
        <w:rPr>
          <w:rFonts w:ascii="Times New Roman" w:hAnsi="Times New Roman" w:eastAsia="黑体" w:cs="黑体"/>
          <w:sz w:val="32"/>
          <w:szCs w:val="32"/>
          <w:lang w:eastAsia="zh-CN"/>
        </w:rPr>
      </w:pPr>
    </w:p>
    <w:p>
      <w:pPr>
        <w:widowControl w:val="0"/>
        <w:kinsoku/>
        <w:overflowPunct w:val="0"/>
        <w:autoSpaceDE/>
        <w:autoSpaceDN/>
        <w:spacing w:line="57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cs="黑体"/>
          <w:sz w:val="32"/>
          <w:szCs w:val="32"/>
          <w:lang w:eastAsia="zh-CN"/>
        </w:rPr>
        <w:t>第七条</w:t>
      </w:r>
      <w:r>
        <w:rPr>
          <w:rFonts w:hint="eastAsia" w:ascii="Times New Roman" w:hAnsi="Times New Roman" w:eastAsia="仿宋_GB2312"/>
          <w:sz w:val="32"/>
          <w:szCs w:val="32"/>
          <w:lang w:eastAsia="zh-CN"/>
        </w:rPr>
        <w:t xml:space="preserve"> 专项资金根据下达的中央财政资金及地方配套资金规模实行总额控制，分级分类、分梯度对中小企业数字化转型进行支持。</w:t>
      </w:r>
    </w:p>
    <w:p>
      <w:pPr>
        <w:widowControl w:val="0"/>
        <w:kinsoku/>
        <w:overflowPunct w:val="0"/>
        <w:autoSpaceDE/>
        <w:autoSpaceDN/>
        <w:spacing w:line="570" w:lineRule="exact"/>
        <w:ind w:firstLine="640" w:firstLineChars="200"/>
        <w:jc w:val="both"/>
        <w:rPr>
          <w:rFonts w:ascii="Times New Roman" w:hAnsi="Times New Roman" w:eastAsia="楷体_GB2312"/>
          <w:b/>
          <w:bCs/>
          <w:sz w:val="32"/>
          <w:szCs w:val="32"/>
          <w:lang w:eastAsia="zh-CN"/>
        </w:rPr>
      </w:pPr>
      <w:r>
        <w:rPr>
          <w:rFonts w:hint="eastAsia" w:ascii="Times New Roman" w:hAnsi="Times New Roman" w:eastAsia="黑体" w:cs="黑体"/>
          <w:sz w:val="32"/>
          <w:szCs w:val="32"/>
          <w:lang w:eastAsia="zh-CN"/>
        </w:rPr>
        <w:t>第八条</w:t>
      </w:r>
      <w:r>
        <w:rPr>
          <w:rFonts w:hint="eastAsia" w:ascii="Times New Roman" w:hAnsi="Times New Roman" w:eastAsia="楷体_GB2312"/>
          <w:b/>
          <w:bCs/>
          <w:sz w:val="32"/>
          <w:szCs w:val="32"/>
          <w:lang w:eastAsia="zh-CN"/>
        </w:rPr>
        <w:t xml:space="preserve"> </w:t>
      </w:r>
      <w:r>
        <w:rPr>
          <w:rFonts w:hint="eastAsia" w:ascii="Times New Roman" w:hAnsi="Times New Roman" w:eastAsia="仿宋_GB2312"/>
          <w:sz w:val="32"/>
          <w:szCs w:val="32"/>
          <w:lang w:eastAsia="zh-CN"/>
        </w:rPr>
        <w:t>数字化改造资金支持具体如下：</w:t>
      </w:r>
    </w:p>
    <w:p>
      <w:pPr>
        <w:widowControl w:val="0"/>
        <w:kinsoku/>
        <w:overflowPunct w:val="0"/>
        <w:autoSpaceDE/>
        <w:autoSpaceDN/>
        <w:spacing w:line="570" w:lineRule="exact"/>
        <w:ind w:firstLine="640" w:firstLineChars="200"/>
        <w:jc w:val="both"/>
        <w:rPr>
          <w:rFonts w:ascii="Times New Roman" w:hAnsi="Times New Roman" w:eastAsia="仿宋_GB2312"/>
          <w:sz w:val="32"/>
          <w:szCs w:val="32"/>
          <w:highlight w:val="yellow"/>
          <w:lang w:eastAsia="zh-CN"/>
        </w:rPr>
      </w:pPr>
      <w:r>
        <w:rPr>
          <w:rFonts w:hint="eastAsia" w:ascii="楷体_GB2312" w:hAnsi="楷体_GB2312" w:eastAsia="楷体_GB2312" w:cs="楷体_GB2312"/>
          <w:sz w:val="32"/>
          <w:szCs w:val="32"/>
          <w:lang w:eastAsia="zh-CN"/>
        </w:rPr>
        <w:t>（一）</w:t>
      </w:r>
      <w:r>
        <w:rPr>
          <w:rFonts w:hint="eastAsia" w:ascii="Times New Roman" w:hAnsi="Times New Roman" w:eastAsia="仿宋_GB2312"/>
          <w:sz w:val="32"/>
          <w:szCs w:val="32"/>
          <w:lang w:eastAsia="zh-CN"/>
        </w:rPr>
        <w:t>试点实施期内每家试点企业支持一个数字化改造项目，一个改造项目可由多个改造合同构成。改造项目且改造合同签约时间早于试点城市批复下达时间的项目不符合支持条件。</w:t>
      </w:r>
    </w:p>
    <w:p>
      <w:pPr>
        <w:widowControl w:val="0"/>
        <w:kinsoku/>
        <w:overflowPunct w:val="0"/>
        <w:autoSpaceDE/>
        <w:autoSpaceDN/>
        <w:spacing w:line="570" w:lineRule="exact"/>
        <w:ind w:firstLine="640" w:firstLineChars="200"/>
        <w:jc w:val="both"/>
        <w:rPr>
          <w:rFonts w:ascii="Times New Roman" w:hAnsi="Times New Roman" w:eastAsia="仿宋_GB2312" w:cs="宋体"/>
          <w:sz w:val="32"/>
          <w:szCs w:val="32"/>
          <w:lang w:eastAsia="zh-CN"/>
        </w:rPr>
      </w:pPr>
      <w:r>
        <w:rPr>
          <w:rFonts w:hint="eastAsia" w:ascii="楷体_GB2312" w:hAnsi="楷体_GB2312" w:eastAsia="楷体_GB2312" w:cs="楷体_GB2312"/>
          <w:sz w:val="32"/>
          <w:szCs w:val="32"/>
          <w:lang w:eastAsia="zh-CN"/>
        </w:rPr>
        <w:t>（二）</w:t>
      </w:r>
      <w:r>
        <w:rPr>
          <w:rFonts w:hint="eastAsia" w:ascii="Times New Roman" w:hAnsi="Times New Roman" w:eastAsia="仿宋_GB2312" w:cs="宋体"/>
          <w:sz w:val="32"/>
          <w:szCs w:val="32"/>
          <w:lang w:eastAsia="zh-CN"/>
        </w:rPr>
        <w:t>对通过</w:t>
      </w:r>
      <w:r>
        <w:rPr>
          <w:rFonts w:hint="eastAsia" w:ascii="Times New Roman" w:hAnsi="Times New Roman" w:eastAsia="仿宋_GB2312"/>
          <w:sz w:val="32"/>
          <w:szCs w:val="32"/>
          <w:lang w:eastAsia="zh-CN"/>
        </w:rPr>
        <w:t>数字化改造项目验收且数字化水平达到二级及以上的企业，按照数字化改造实际支出的一定比例进行分级梯度奖补。其中，数字化改造项目验收状态根据市级验收结果确定，</w:t>
      </w:r>
      <w:r>
        <w:rPr>
          <w:rFonts w:hint="eastAsia" w:ascii="Times New Roman" w:hAnsi="Times New Roman" w:eastAsia="仿宋_GB2312" w:cs="宋体"/>
          <w:sz w:val="32"/>
          <w:szCs w:val="32"/>
          <w:lang w:eastAsia="zh-CN"/>
        </w:rPr>
        <w:t>数字化改造实际支出金额根据第三方专项审计结果确定，</w:t>
      </w:r>
      <w:r>
        <w:rPr>
          <w:rFonts w:hint="eastAsia" w:ascii="Times New Roman" w:hAnsi="Times New Roman" w:eastAsia="仿宋_GB2312"/>
          <w:sz w:val="32"/>
          <w:szCs w:val="32"/>
          <w:lang w:eastAsia="zh-CN"/>
        </w:rPr>
        <w:t>改造后数字化水平等级</w:t>
      </w:r>
      <w:r>
        <w:rPr>
          <w:rFonts w:hint="eastAsia" w:ascii="Times New Roman" w:hAnsi="Times New Roman" w:eastAsia="仿宋_GB2312" w:cs="宋体"/>
          <w:sz w:val="32"/>
          <w:szCs w:val="32"/>
          <w:lang w:eastAsia="zh-CN"/>
        </w:rPr>
        <w:t>根据第三方评测报告结果确定。</w:t>
      </w:r>
    </w:p>
    <w:p>
      <w:pPr>
        <w:widowControl w:val="0"/>
        <w:kinsoku/>
        <w:overflowPunct w:val="0"/>
        <w:autoSpaceDE/>
        <w:autoSpaceDN/>
        <w:spacing w:line="570" w:lineRule="exact"/>
        <w:ind w:firstLine="640" w:firstLineChars="200"/>
        <w:jc w:val="both"/>
        <w:rPr>
          <w:rFonts w:ascii="Times New Roman" w:hAnsi="Times New Roman" w:eastAsia="仿宋_GB2312"/>
          <w:sz w:val="32"/>
          <w:szCs w:val="32"/>
          <w:lang w:eastAsia="zh-CN"/>
        </w:rPr>
      </w:pPr>
      <w:r>
        <w:rPr>
          <w:rFonts w:hint="eastAsia" w:ascii="楷体_GB2312" w:hAnsi="楷体_GB2312" w:eastAsia="楷体_GB2312" w:cs="楷体_GB2312"/>
          <w:sz w:val="32"/>
          <w:szCs w:val="32"/>
          <w:lang w:eastAsia="zh-CN"/>
        </w:rPr>
        <w:t>（三）</w:t>
      </w:r>
      <w:r>
        <w:rPr>
          <w:rFonts w:hint="eastAsia" w:ascii="Times New Roman" w:hAnsi="Times New Roman" w:eastAsia="仿宋_GB2312"/>
          <w:sz w:val="32"/>
          <w:szCs w:val="32"/>
          <w:lang w:eastAsia="zh-CN"/>
        </w:rPr>
        <w:t>改造后数字化水平达到二级的企业，按照数字化改造实际支出金额的50%进行奖补，最高不超过30万元。</w:t>
      </w:r>
    </w:p>
    <w:p>
      <w:pPr>
        <w:widowControl w:val="0"/>
        <w:kinsoku/>
        <w:overflowPunct w:val="0"/>
        <w:autoSpaceDE/>
        <w:autoSpaceDN/>
        <w:spacing w:line="570" w:lineRule="exact"/>
        <w:ind w:firstLine="640" w:firstLineChars="200"/>
        <w:jc w:val="both"/>
        <w:rPr>
          <w:rFonts w:ascii="Times New Roman" w:hAnsi="Times New Roman" w:eastAsia="仿宋_GB2312"/>
          <w:sz w:val="32"/>
          <w:szCs w:val="32"/>
          <w:lang w:eastAsia="zh-CN"/>
        </w:rPr>
      </w:pPr>
      <w:r>
        <w:rPr>
          <w:rFonts w:hint="eastAsia" w:ascii="楷体_GB2312" w:hAnsi="楷体_GB2312" w:eastAsia="楷体_GB2312" w:cs="楷体_GB2312"/>
          <w:sz w:val="32"/>
          <w:szCs w:val="32"/>
          <w:lang w:eastAsia="zh-CN"/>
        </w:rPr>
        <w:t>（四）</w:t>
      </w:r>
      <w:r>
        <w:rPr>
          <w:rFonts w:hint="eastAsia" w:ascii="Times New Roman" w:hAnsi="Times New Roman" w:eastAsia="仿宋_GB2312"/>
          <w:sz w:val="32"/>
          <w:szCs w:val="32"/>
          <w:lang w:eastAsia="zh-CN"/>
        </w:rPr>
        <w:t>改造后数字化水平达到三级的企业，按照数字化改造实际支出金额的50%进行奖补，最高不超过40万元。</w:t>
      </w:r>
    </w:p>
    <w:p>
      <w:pPr>
        <w:widowControl w:val="0"/>
        <w:kinsoku/>
        <w:overflowPunct w:val="0"/>
        <w:autoSpaceDE/>
        <w:autoSpaceDN/>
        <w:spacing w:line="570" w:lineRule="exact"/>
        <w:ind w:firstLine="640" w:firstLineChars="200"/>
        <w:jc w:val="both"/>
        <w:rPr>
          <w:rFonts w:ascii="Times New Roman" w:hAnsi="Times New Roman" w:eastAsia="仿宋_GB2312"/>
          <w:sz w:val="32"/>
          <w:szCs w:val="32"/>
          <w:lang w:eastAsia="zh-CN"/>
        </w:rPr>
      </w:pPr>
      <w:r>
        <w:rPr>
          <w:rFonts w:hint="eastAsia" w:ascii="楷体_GB2312" w:hAnsi="楷体_GB2312" w:eastAsia="楷体_GB2312" w:cs="楷体_GB2312"/>
          <w:sz w:val="32"/>
          <w:szCs w:val="32"/>
          <w:lang w:eastAsia="zh-CN"/>
        </w:rPr>
        <w:t>（五）</w:t>
      </w:r>
      <w:r>
        <w:rPr>
          <w:rFonts w:hint="eastAsia" w:ascii="Times New Roman" w:hAnsi="Times New Roman" w:eastAsia="仿宋_GB2312"/>
          <w:sz w:val="32"/>
          <w:szCs w:val="32"/>
          <w:lang w:eastAsia="zh-CN"/>
        </w:rPr>
        <w:t>改造后数字化水平达到四级的企业，按照数字化改造实际支出金额的50%进行奖补，最高不超过60万元。</w:t>
      </w:r>
    </w:p>
    <w:p>
      <w:pPr>
        <w:widowControl w:val="0"/>
        <w:kinsoku/>
        <w:overflowPunct w:val="0"/>
        <w:autoSpaceDE/>
        <w:autoSpaceDN/>
        <w:spacing w:line="57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cs="黑体"/>
          <w:sz w:val="32"/>
          <w:szCs w:val="32"/>
          <w:lang w:eastAsia="zh-CN"/>
        </w:rPr>
        <w:t>第九条</w:t>
      </w:r>
      <w:r>
        <w:rPr>
          <w:rFonts w:hint="eastAsia" w:ascii="Times New Roman" w:hAnsi="Times New Roman" w:eastAsia="楷体_GB2312"/>
          <w:b/>
          <w:bCs/>
          <w:sz w:val="32"/>
          <w:szCs w:val="32"/>
          <w:lang w:eastAsia="zh-CN"/>
        </w:rPr>
        <w:t xml:space="preserve"> </w:t>
      </w:r>
      <w:r>
        <w:rPr>
          <w:rFonts w:hint="eastAsia" w:ascii="Times New Roman" w:hAnsi="Times New Roman" w:eastAsia="仿宋_GB2312"/>
          <w:sz w:val="32"/>
          <w:szCs w:val="32"/>
          <w:lang w:eastAsia="zh-CN"/>
        </w:rPr>
        <w:t>典型标杆打造资金支持具体如下：</w:t>
      </w:r>
    </w:p>
    <w:p>
      <w:pPr>
        <w:widowControl w:val="0"/>
        <w:kinsoku/>
        <w:overflowPunct w:val="0"/>
        <w:autoSpaceDE/>
        <w:autoSpaceDN/>
        <w:spacing w:line="570" w:lineRule="exact"/>
        <w:ind w:firstLine="640" w:firstLineChars="200"/>
        <w:jc w:val="both"/>
        <w:rPr>
          <w:rFonts w:ascii="Times New Roman" w:hAnsi="Times New Roman" w:eastAsia="仿宋_GB2312"/>
          <w:sz w:val="32"/>
          <w:szCs w:val="32"/>
          <w:lang w:eastAsia="zh-CN"/>
        </w:rPr>
      </w:pPr>
      <w:r>
        <w:rPr>
          <w:rFonts w:hint="eastAsia" w:ascii="楷体_GB2312" w:hAnsi="楷体_GB2312" w:eastAsia="楷体_GB2312" w:cs="楷体_GB2312"/>
          <w:sz w:val="32"/>
          <w:szCs w:val="32"/>
          <w:lang w:eastAsia="zh-CN"/>
        </w:rPr>
        <w:t>（一）</w:t>
      </w:r>
      <w:r>
        <w:rPr>
          <w:rFonts w:hint="eastAsia" w:ascii="Times New Roman" w:hAnsi="Times New Roman" w:eastAsia="仿宋_GB2312"/>
          <w:sz w:val="32"/>
          <w:szCs w:val="32"/>
          <w:lang w:eastAsia="zh-CN"/>
        </w:rPr>
        <w:t>对获评智能工厂、数字化车间的企业，</w:t>
      </w:r>
      <w:r>
        <w:rPr>
          <w:rFonts w:hint="eastAsia" w:ascii="Times New Roman" w:hAnsi="Times New Roman" w:eastAsia="仿宋_GB2312"/>
          <w:sz w:val="32"/>
          <w:szCs w:val="32"/>
          <w:lang w:val="en-US" w:eastAsia="zh-CN"/>
        </w:rPr>
        <w:t>按照获评标杆类型分别</w:t>
      </w:r>
      <w:r>
        <w:rPr>
          <w:rFonts w:hint="eastAsia" w:ascii="Times New Roman" w:hAnsi="Times New Roman" w:eastAsia="仿宋_GB2312"/>
          <w:sz w:val="32"/>
          <w:szCs w:val="32"/>
          <w:lang w:eastAsia="zh-CN"/>
        </w:rPr>
        <w:t>给予不高于20万元资金支持。</w:t>
      </w:r>
    </w:p>
    <w:p>
      <w:pPr>
        <w:widowControl w:val="0"/>
        <w:kinsoku/>
        <w:overflowPunct w:val="0"/>
        <w:autoSpaceDE/>
        <w:autoSpaceDN/>
        <w:spacing w:line="570" w:lineRule="exact"/>
        <w:ind w:firstLine="640" w:firstLineChars="200"/>
        <w:jc w:val="both"/>
        <w:rPr>
          <w:rFonts w:ascii="Times New Roman" w:hAnsi="Times New Roman" w:eastAsia="仿宋_GB2312"/>
          <w:sz w:val="32"/>
          <w:szCs w:val="32"/>
          <w:lang w:eastAsia="zh-CN"/>
        </w:rPr>
      </w:pPr>
      <w:r>
        <w:rPr>
          <w:rFonts w:hint="eastAsia" w:ascii="楷体_GB2312" w:hAnsi="楷体_GB2312" w:eastAsia="楷体_GB2312" w:cs="楷体_GB2312"/>
          <w:sz w:val="32"/>
          <w:szCs w:val="32"/>
          <w:lang w:eastAsia="zh-CN"/>
        </w:rPr>
        <w:t>（二）</w:t>
      </w:r>
      <w:r>
        <w:rPr>
          <w:rFonts w:hint="eastAsia" w:ascii="Times New Roman" w:hAnsi="Times New Roman" w:eastAsia="仿宋_GB2312"/>
          <w:sz w:val="32"/>
          <w:szCs w:val="32"/>
          <w:lang w:eastAsia="zh-CN"/>
        </w:rPr>
        <w:t>对获评数字化标杆、人工智能创新应用场景的企业，</w:t>
      </w:r>
      <w:r>
        <w:rPr>
          <w:rFonts w:hint="eastAsia" w:ascii="Times New Roman" w:hAnsi="Times New Roman" w:eastAsia="仿宋_GB2312"/>
          <w:sz w:val="32"/>
          <w:szCs w:val="32"/>
          <w:lang w:val="en-US" w:eastAsia="zh-CN"/>
        </w:rPr>
        <w:t>按照获评标杆类型分别</w:t>
      </w:r>
      <w:r>
        <w:rPr>
          <w:rFonts w:hint="eastAsia" w:ascii="Times New Roman" w:hAnsi="Times New Roman" w:eastAsia="仿宋_GB2312"/>
          <w:sz w:val="32"/>
          <w:szCs w:val="32"/>
          <w:lang w:eastAsia="zh-CN"/>
        </w:rPr>
        <w:t>给予不高于10万元资金支持。</w:t>
      </w:r>
    </w:p>
    <w:p>
      <w:pPr>
        <w:widowControl w:val="0"/>
        <w:kinsoku/>
        <w:overflowPunct w:val="0"/>
        <w:autoSpaceDE/>
        <w:autoSpaceDN/>
        <w:spacing w:line="570" w:lineRule="exact"/>
        <w:ind w:firstLine="640" w:firstLineChars="200"/>
        <w:jc w:val="both"/>
        <w:rPr>
          <w:rFonts w:hint="eastAsia" w:ascii="Times New Roman" w:hAnsi="Times New Roman" w:eastAsia="仿宋_GB2312"/>
          <w:sz w:val="32"/>
          <w:szCs w:val="32"/>
          <w:lang w:eastAsia="zh-CN"/>
        </w:rPr>
      </w:pPr>
      <w:r>
        <w:rPr>
          <w:rFonts w:hint="eastAsia" w:ascii="楷体_GB2312" w:hAnsi="楷体_GB2312" w:eastAsia="楷体_GB2312" w:cs="楷体_GB2312"/>
          <w:sz w:val="32"/>
          <w:szCs w:val="32"/>
          <w:lang w:eastAsia="zh-CN"/>
        </w:rPr>
        <w:t>（三）</w:t>
      </w:r>
      <w:r>
        <w:rPr>
          <w:rFonts w:hint="eastAsia" w:ascii="Times New Roman" w:hAnsi="Times New Roman" w:eastAsia="仿宋_GB2312"/>
          <w:sz w:val="32"/>
          <w:szCs w:val="32"/>
          <w:lang w:eastAsia="zh-CN"/>
        </w:rPr>
        <w:t>对获评“链式”转型、集群（园区）转型标杆的企业，</w:t>
      </w:r>
      <w:r>
        <w:rPr>
          <w:rFonts w:hint="eastAsia" w:ascii="Times New Roman" w:hAnsi="Times New Roman" w:eastAsia="仿宋_GB2312"/>
          <w:sz w:val="32"/>
          <w:szCs w:val="32"/>
          <w:lang w:val="en-US" w:eastAsia="zh-CN"/>
        </w:rPr>
        <w:t>按照获评标杆类型分别</w:t>
      </w:r>
      <w:r>
        <w:rPr>
          <w:rFonts w:hint="eastAsia" w:ascii="Times New Roman" w:hAnsi="Times New Roman" w:eastAsia="仿宋_GB2312"/>
          <w:sz w:val="32"/>
          <w:szCs w:val="32"/>
          <w:lang w:eastAsia="zh-CN"/>
        </w:rPr>
        <w:t>给予不高于30万元资金支持。</w:t>
      </w:r>
    </w:p>
    <w:p>
      <w:pPr>
        <w:widowControl w:val="0"/>
        <w:kinsoku/>
        <w:overflowPunct w:val="0"/>
        <w:autoSpaceDE/>
        <w:autoSpaceDN/>
        <w:spacing w:line="57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黑体" w:cs="黑体"/>
          <w:sz w:val="32"/>
          <w:szCs w:val="32"/>
          <w:lang w:val="en-US" w:eastAsia="zh-CN"/>
        </w:rPr>
        <w:t>第十条</w:t>
      </w:r>
      <w:r>
        <w:rPr>
          <w:rFonts w:hint="eastAsia" w:ascii="楷体_GB2312" w:hAnsi="楷体_GB2312" w:eastAsia="楷体_GB2312" w:cs="楷体_GB2312"/>
          <w:sz w:val="32"/>
          <w:szCs w:val="32"/>
          <w:lang w:val="en-US" w:eastAsia="zh-CN"/>
        </w:rPr>
        <w:t xml:space="preserve"> </w:t>
      </w:r>
      <w:r>
        <w:rPr>
          <w:rFonts w:hint="eastAsia" w:ascii="Times New Roman" w:hAnsi="Times New Roman" w:eastAsia="仿宋_GB2312"/>
          <w:sz w:val="32"/>
          <w:szCs w:val="32"/>
          <w:lang w:eastAsia="zh-CN"/>
        </w:rPr>
        <w:t>对于符合多项典型标杆打造资金支持条件的</w:t>
      </w:r>
      <w:r>
        <w:rPr>
          <w:rFonts w:hint="eastAsia" w:ascii="Times New Roman" w:hAnsi="Times New Roman" w:eastAsia="仿宋_GB2312"/>
          <w:sz w:val="32"/>
          <w:szCs w:val="32"/>
          <w:lang w:val="en-US" w:eastAsia="zh-CN"/>
        </w:rPr>
        <w:t>数字化改造</w:t>
      </w:r>
      <w:r>
        <w:rPr>
          <w:rFonts w:hint="eastAsia" w:ascii="Times New Roman" w:hAnsi="Times New Roman" w:eastAsia="仿宋_GB2312"/>
          <w:sz w:val="32"/>
          <w:szCs w:val="32"/>
          <w:lang w:eastAsia="zh-CN"/>
        </w:rPr>
        <w:t>企业，可根据实际情况分别申领多类资金支持。同一家企业</w:t>
      </w:r>
      <w:r>
        <w:rPr>
          <w:rFonts w:hint="eastAsia" w:ascii="Times New Roman" w:hAnsi="Times New Roman" w:eastAsia="仿宋_GB2312"/>
          <w:sz w:val="32"/>
          <w:szCs w:val="32"/>
          <w:lang w:val="en-US" w:eastAsia="zh-CN"/>
        </w:rPr>
        <w:t>在试点实施期内</w:t>
      </w:r>
      <w:r>
        <w:rPr>
          <w:rFonts w:hint="eastAsia" w:ascii="Times New Roman" w:hAnsi="Times New Roman" w:eastAsia="仿宋_GB2312"/>
          <w:sz w:val="32"/>
          <w:szCs w:val="32"/>
          <w:lang w:eastAsia="zh-CN"/>
        </w:rPr>
        <w:t>累计获得</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lang w:eastAsia="zh-CN"/>
        </w:rPr>
        <w:t>数字化改造资金</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典型标杆打造资金</w:t>
      </w:r>
      <w:r>
        <w:rPr>
          <w:rFonts w:hint="eastAsia" w:ascii="Times New Roman" w:hAnsi="Times New Roman" w:eastAsia="仿宋_GB2312"/>
          <w:sz w:val="32"/>
          <w:szCs w:val="32"/>
          <w:lang w:val="en-US" w:eastAsia="zh-CN"/>
        </w:rPr>
        <w:t>总和</w:t>
      </w:r>
      <w:r>
        <w:rPr>
          <w:rFonts w:hint="eastAsia" w:ascii="Times New Roman" w:hAnsi="Times New Roman" w:eastAsia="仿宋_GB2312"/>
          <w:sz w:val="32"/>
          <w:szCs w:val="32"/>
          <w:lang w:eastAsia="zh-CN"/>
        </w:rPr>
        <w:t>，原则上不超过数字化改造项目实际支出金额的70%、最高不超过</w:t>
      </w:r>
      <w:r>
        <w:rPr>
          <w:rFonts w:hint="eastAsia" w:ascii="Times New Roman" w:hAnsi="Times New Roman" w:eastAsia="仿宋_GB2312"/>
          <w:sz w:val="32"/>
          <w:szCs w:val="32"/>
          <w:lang w:val="en-US" w:eastAsia="zh-CN"/>
        </w:rPr>
        <w:t>180</w:t>
      </w:r>
      <w:r>
        <w:rPr>
          <w:rFonts w:hint="eastAsia" w:ascii="Times New Roman" w:hAnsi="Times New Roman" w:eastAsia="仿宋_GB2312"/>
          <w:sz w:val="32"/>
          <w:szCs w:val="32"/>
          <w:lang w:eastAsia="zh-CN"/>
        </w:rPr>
        <w:t>万元。</w:t>
      </w:r>
    </w:p>
    <w:p>
      <w:pPr>
        <w:widowControl w:val="0"/>
        <w:kinsoku/>
        <w:overflowPunct w:val="0"/>
        <w:autoSpaceDE/>
        <w:autoSpaceDN/>
        <w:spacing w:line="570" w:lineRule="exact"/>
        <w:ind w:firstLine="640" w:firstLineChars="200"/>
        <w:jc w:val="both"/>
        <w:rPr>
          <w:rFonts w:ascii="仿宋_GB2312" w:eastAsia="仿宋_GB2312"/>
          <w:sz w:val="32"/>
          <w:szCs w:val="32"/>
          <w:lang w:eastAsia="zh-CN"/>
        </w:rPr>
      </w:pPr>
      <w:r>
        <w:rPr>
          <w:rFonts w:hint="eastAsia" w:ascii="Times New Roman" w:hAnsi="Times New Roman" w:eastAsia="黑体" w:cs="黑体"/>
          <w:sz w:val="32"/>
          <w:szCs w:val="32"/>
          <w:lang w:eastAsia="zh-CN"/>
        </w:rPr>
        <w:t>第十</w:t>
      </w:r>
      <w:r>
        <w:rPr>
          <w:rFonts w:hint="eastAsia" w:ascii="Times New Roman" w:hAnsi="Times New Roman" w:eastAsia="黑体" w:cs="黑体"/>
          <w:sz w:val="32"/>
          <w:szCs w:val="32"/>
          <w:lang w:val="en-US" w:eastAsia="zh-CN"/>
        </w:rPr>
        <w:t>一</w:t>
      </w:r>
      <w:r>
        <w:rPr>
          <w:rFonts w:hint="eastAsia" w:ascii="Times New Roman" w:hAnsi="Times New Roman" w:eastAsia="黑体" w:cs="黑体"/>
          <w:sz w:val="32"/>
          <w:szCs w:val="32"/>
          <w:lang w:eastAsia="zh-CN"/>
        </w:rPr>
        <w:t>条</w:t>
      </w:r>
      <w:r>
        <w:rPr>
          <w:rFonts w:hint="eastAsia" w:ascii="楷体_GB2312" w:eastAsia="楷体_GB2312"/>
          <w:b/>
          <w:bCs/>
          <w:sz w:val="32"/>
          <w:szCs w:val="32"/>
          <w:lang w:eastAsia="zh-CN"/>
        </w:rPr>
        <w:t xml:space="preserve"> </w:t>
      </w:r>
      <w:r>
        <w:rPr>
          <w:rFonts w:hint="eastAsia" w:ascii="仿宋_GB2312" w:eastAsia="仿宋_GB2312"/>
          <w:sz w:val="32"/>
          <w:szCs w:val="32"/>
          <w:lang w:eastAsia="zh-CN"/>
        </w:rPr>
        <w:t>服务商服务水平提升资金支持具体如下：</w:t>
      </w:r>
    </w:p>
    <w:p>
      <w:pPr>
        <w:widowControl w:val="0"/>
        <w:kinsoku/>
        <w:overflowPunct w:val="0"/>
        <w:autoSpaceDE/>
        <w:autoSpaceDN/>
        <w:spacing w:line="570" w:lineRule="exact"/>
        <w:ind w:firstLine="640" w:firstLineChars="200"/>
        <w:jc w:val="both"/>
        <w:rPr>
          <w:rFonts w:ascii="Times New Roman" w:hAnsi="Times New Roman" w:eastAsia="仿宋_GB2312"/>
          <w:sz w:val="32"/>
          <w:szCs w:val="32"/>
          <w:lang w:eastAsia="zh-CN"/>
        </w:rPr>
      </w:pPr>
      <w:r>
        <w:rPr>
          <w:rFonts w:hint="eastAsia" w:ascii="楷体_GB2312" w:hAnsi="楷体_GB2312" w:eastAsia="楷体_GB2312" w:cs="楷体_GB2312"/>
          <w:sz w:val="32"/>
          <w:szCs w:val="32"/>
          <w:lang w:eastAsia="zh-CN"/>
        </w:rPr>
        <w:t>（一）</w:t>
      </w:r>
      <w:r>
        <w:rPr>
          <w:rFonts w:hint="eastAsia" w:ascii="Times New Roman" w:hAnsi="Times New Roman" w:eastAsia="仿宋_GB2312"/>
          <w:sz w:val="32"/>
          <w:szCs w:val="32"/>
          <w:lang w:eastAsia="zh-CN"/>
        </w:rPr>
        <w:t>对</w:t>
      </w:r>
      <w:r>
        <w:rPr>
          <w:rFonts w:hint="eastAsia" w:ascii="Times New Roman" w:hAnsi="Times New Roman" w:eastAsia="仿宋_GB2312"/>
          <w:sz w:val="32"/>
          <w:lang w:eastAsia="zh-CN"/>
        </w:rPr>
        <w:t>服务商按照签订企业改造合同、完成企业改造项目等情况进行综合排名，</w:t>
      </w:r>
      <w:r>
        <w:rPr>
          <w:rFonts w:hint="eastAsia" w:ascii="Times New Roman" w:hAnsi="Times New Roman" w:eastAsia="仿宋_GB2312"/>
          <w:sz w:val="32"/>
          <w:szCs w:val="32"/>
          <w:lang w:eastAsia="zh-CN"/>
        </w:rPr>
        <w:t>对经过遴选认定的改造成效好、企业满意度高的优秀数字化转型服务商，根据实际改造完成情况每家不高于10万元资金支持。</w:t>
      </w:r>
    </w:p>
    <w:p>
      <w:pPr>
        <w:widowControl w:val="0"/>
        <w:kinsoku/>
        <w:overflowPunct w:val="0"/>
        <w:autoSpaceDE/>
        <w:autoSpaceDN/>
        <w:spacing w:line="570" w:lineRule="exact"/>
        <w:ind w:firstLine="640" w:firstLineChars="200"/>
        <w:jc w:val="both"/>
        <w:rPr>
          <w:rFonts w:ascii="Times New Roman" w:hAnsi="Times New Roman" w:eastAsia="仿宋_GB2312"/>
          <w:sz w:val="32"/>
          <w:szCs w:val="32"/>
          <w:lang w:eastAsia="zh-CN"/>
        </w:rPr>
      </w:pPr>
      <w:r>
        <w:rPr>
          <w:rFonts w:hint="eastAsia" w:ascii="楷体_GB2312" w:hAnsi="楷体_GB2312" w:eastAsia="楷体_GB2312" w:cs="楷体_GB2312"/>
          <w:sz w:val="32"/>
          <w:szCs w:val="32"/>
          <w:lang w:eastAsia="zh-CN"/>
        </w:rPr>
        <w:t>（二）</w:t>
      </w:r>
      <w:r>
        <w:rPr>
          <w:rFonts w:hint="eastAsia" w:ascii="Times New Roman" w:hAnsi="Times New Roman" w:eastAsia="仿宋_GB2312"/>
          <w:sz w:val="32"/>
          <w:lang w:eastAsia="zh-CN"/>
        </w:rPr>
        <w:t>对“小快轻准”数字化转型产品和解决方案按照企业应用次数、成交价格等情况进行综合排名，</w:t>
      </w:r>
      <w:r>
        <w:rPr>
          <w:rFonts w:hint="eastAsia" w:ascii="Times New Roman" w:hAnsi="Times New Roman" w:eastAsia="仿宋_GB2312"/>
          <w:sz w:val="32"/>
          <w:szCs w:val="32"/>
          <w:lang w:eastAsia="zh-CN"/>
        </w:rPr>
        <w:t>对于经过遴选认定的适用性强、性价比高的优质“小快轻准”产品和解决方案，根据实际应用推广情况每个给予不高于5万元资金支持。</w:t>
      </w:r>
    </w:p>
    <w:p>
      <w:pPr>
        <w:widowControl w:val="0"/>
        <w:kinsoku/>
        <w:overflowPunct w:val="0"/>
        <w:autoSpaceDE/>
        <w:autoSpaceDN/>
        <w:spacing w:line="570" w:lineRule="exact"/>
        <w:ind w:firstLine="640" w:firstLineChars="200"/>
        <w:jc w:val="both"/>
        <w:rPr>
          <w:rFonts w:ascii="Times New Roman" w:hAnsi="Times New Roman" w:eastAsia="仿宋_GB2312"/>
          <w:sz w:val="32"/>
          <w:szCs w:val="32"/>
          <w:lang w:eastAsia="zh-CN"/>
        </w:rPr>
      </w:pPr>
      <w:r>
        <w:rPr>
          <w:rFonts w:hint="eastAsia" w:ascii="楷体_GB2312" w:hAnsi="楷体_GB2312" w:eastAsia="楷体_GB2312" w:cs="楷体_GB2312"/>
          <w:sz w:val="32"/>
          <w:szCs w:val="32"/>
          <w:lang w:eastAsia="zh-CN"/>
        </w:rPr>
        <w:t>（三）</w:t>
      </w:r>
      <w:r>
        <w:rPr>
          <w:rFonts w:hint="eastAsia" w:ascii="Times New Roman" w:hAnsi="Times New Roman" w:eastAsia="仿宋_GB2312"/>
          <w:sz w:val="32"/>
          <w:szCs w:val="32"/>
          <w:lang w:eastAsia="zh-CN"/>
        </w:rPr>
        <w:t>同一家服务商累计获得资金不超过20万元。</w:t>
      </w:r>
    </w:p>
    <w:p>
      <w:pPr>
        <w:widowControl w:val="0"/>
        <w:kinsoku/>
        <w:overflowPunct w:val="0"/>
        <w:autoSpaceDE/>
        <w:autoSpaceDN/>
        <w:spacing w:line="570" w:lineRule="exact"/>
        <w:ind w:firstLine="640" w:firstLineChars="200"/>
        <w:rPr>
          <w:rFonts w:ascii="Times New Roman" w:hAnsi="Times New Roman" w:eastAsia="仿宋_GB2312"/>
          <w:sz w:val="32"/>
          <w:szCs w:val="32"/>
          <w:lang w:eastAsia="zh-CN"/>
        </w:rPr>
      </w:pPr>
    </w:p>
    <w:p>
      <w:pPr>
        <w:widowControl w:val="0"/>
        <w:kinsoku/>
        <w:overflowPunct w:val="0"/>
        <w:autoSpaceDE/>
        <w:autoSpaceDN/>
        <w:spacing w:line="570" w:lineRule="exact"/>
        <w:jc w:val="center"/>
        <w:outlineLvl w:val="0"/>
        <w:rPr>
          <w:rFonts w:ascii="黑体" w:hAnsi="黑体" w:eastAsia="黑体" w:cs="黑体"/>
          <w:sz w:val="32"/>
          <w:szCs w:val="32"/>
          <w:lang w:eastAsia="zh-CN"/>
        </w:rPr>
      </w:pPr>
      <w:r>
        <w:rPr>
          <w:rFonts w:hint="eastAsia" w:ascii="黑体" w:hAnsi="黑体" w:eastAsia="黑体" w:cs="黑体"/>
          <w:sz w:val="32"/>
          <w:szCs w:val="32"/>
          <w:lang w:eastAsia="zh-CN"/>
        </w:rPr>
        <w:t>第四章 资格要求</w:t>
      </w:r>
    </w:p>
    <w:p>
      <w:pPr>
        <w:widowControl w:val="0"/>
        <w:kinsoku/>
        <w:overflowPunct w:val="0"/>
        <w:autoSpaceDE/>
        <w:autoSpaceDN/>
        <w:spacing w:line="570" w:lineRule="exact"/>
        <w:ind w:firstLine="640" w:firstLineChars="200"/>
        <w:rPr>
          <w:rFonts w:ascii="黑体" w:hAnsi="黑体" w:eastAsia="黑体" w:cs="黑体"/>
          <w:sz w:val="32"/>
          <w:szCs w:val="32"/>
          <w:lang w:eastAsia="zh-CN"/>
        </w:rPr>
      </w:pP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条</w:t>
      </w:r>
      <w:r>
        <w:rPr>
          <w:rFonts w:hint="eastAsia" w:ascii="Times New Roman" w:hAnsi="Times New Roman" w:eastAsia="仿宋_GB2312" w:cs="仿宋_GB2312"/>
          <w:sz w:val="32"/>
          <w:szCs w:val="32"/>
          <w:lang w:eastAsia="zh-CN"/>
        </w:rPr>
        <w:t xml:space="preserve"> 有下列情形之一的申报主体，不得纳入中央财政资金支持范围：</w:t>
      </w: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（一）</w:t>
      </w:r>
      <w:r>
        <w:rPr>
          <w:rFonts w:hint="eastAsia" w:ascii="Times New Roman" w:hAnsi="Times New Roman" w:eastAsia="仿宋_GB2312" w:cs="仿宋_GB2312"/>
          <w:sz w:val="32"/>
          <w:szCs w:val="32"/>
          <w:lang w:eastAsia="zh-CN"/>
        </w:rPr>
        <w:t>已获得中央财政中小企业发展专项资金支持的专精特新重点“小巨人”企业。</w:t>
      </w: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（二）</w:t>
      </w:r>
      <w:r>
        <w:rPr>
          <w:rFonts w:hint="eastAsia" w:ascii="Times New Roman" w:hAnsi="Times New Roman" w:eastAsia="仿宋_GB2312" w:cs="仿宋_GB2312"/>
          <w:sz w:val="32"/>
          <w:szCs w:val="32"/>
          <w:lang w:eastAsia="zh-CN"/>
        </w:rPr>
        <w:t>已纳入《工业和信息化部办公厅财政部办公厅关于开展财政支持中小企业数字化转型试点工作的通知》（工信厅联企业〔2022〕22号）中改造试点的中小企业。</w:t>
      </w: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条</w:t>
      </w:r>
      <w:r>
        <w:rPr>
          <w:rFonts w:hint="eastAsia" w:ascii="Times New Roman" w:hAnsi="Times New Roman" w:eastAsia="仿宋_GB2312" w:cs="仿宋_GB2312"/>
          <w:sz w:val="32"/>
          <w:szCs w:val="32"/>
          <w:lang w:eastAsia="zh-CN"/>
        </w:rPr>
        <w:t xml:space="preserve"> 有下列情形之一的申报主体，不得纳入专项资金支持范围：</w:t>
      </w: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（一）</w:t>
      </w:r>
      <w:r>
        <w:rPr>
          <w:rFonts w:hint="eastAsia" w:ascii="Times New Roman" w:hAnsi="Times New Roman" w:eastAsia="仿宋_GB2312" w:cs="仿宋_GB2312"/>
          <w:sz w:val="32"/>
          <w:szCs w:val="32"/>
          <w:lang w:eastAsia="zh-CN"/>
        </w:rPr>
        <w:t>被列入经营异常名录或严重失信主体名单的企业和服务商。</w:t>
      </w: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bookmarkStart w:id="2" w:name="OLE_LINK6"/>
      <w:bookmarkStart w:id="3" w:name="OLE_LINK5"/>
      <w:r>
        <w:rPr>
          <w:rFonts w:hint="eastAsia" w:ascii="楷体_GB2312" w:hAnsi="楷体_GB2312" w:eastAsia="楷体_GB2312" w:cs="楷体_GB2312"/>
          <w:sz w:val="32"/>
          <w:szCs w:val="32"/>
          <w:lang w:eastAsia="zh-CN"/>
        </w:rPr>
        <w:t>（二）</w:t>
      </w:r>
      <w:r>
        <w:rPr>
          <w:rFonts w:hint="eastAsia" w:ascii="Times New Roman" w:hAnsi="Times New Roman" w:eastAsia="仿宋_GB2312" w:cs="仿宋_GB2312"/>
          <w:sz w:val="32"/>
          <w:szCs w:val="32"/>
          <w:lang w:eastAsia="zh-CN"/>
        </w:rPr>
        <w:t>近三年发生重大安全（含网络安全、数据安全等）、质量、环境污染等事故，存在严重失信、偷漏税等违法违规行为，发现数据造假等情形的企业和服务商。</w:t>
      </w:r>
      <w:bookmarkEnd w:id="2"/>
      <w:bookmarkEnd w:id="3"/>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（三）</w:t>
      </w:r>
      <w:r>
        <w:rPr>
          <w:rFonts w:hint="eastAsia" w:ascii="Times New Roman" w:hAnsi="Times New Roman" w:eastAsia="仿宋_GB2312" w:cs="仿宋_GB2312"/>
          <w:sz w:val="32"/>
          <w:szCs w:val="32"/>
          <w:lang w:eastAsia="zh-CN"/>
        </w:rPr>
        <w:t>存在其他违反试点城市相关管理制度行为的企业和服务商。</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p>
    <w:p>
      <w:pPr>
        <w:widowControl w:val="0"/>
        <w:kinsoku/>
        <w:overflowPunct w:val="0"/>
        <w:autoSpaceDE/>
        <w:autoSpaceDN/>
        <w:spacing w:line="570" w:lineRule="exact"/>
        <w:jc w:val="center"/>
        <w:outlineLvl w:val="0"/>
        <w:rPr>
          <w:rFonts w:ascii="黑体" w:hAnsi="黑体" w:eastAsia="黑体" w:cs="黑体"/>
          <w:sz w:val="32"/>
          <w:szCs w:val="32"/>
          <w:lang w:eastAsia="zh-CN"/>
        </w:rPr>
      </w:pPr>
      <w:r>
        <w:rPr>
          <w:rFonts w:hint="eastAsia" w:ascii="黑体" w:hAnsi="黑体" w:eastAsia="黑体" w:cs="黑体"/>
          <w:sz w:val="32"/>
          <w:szCs w:val="32"/>
          <w:lang w:eastAsia="zh-CN"/>
        </w:rPr>
        <w:t>第五章 管理职责</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条</w:t>
      </w:r>
      <w:r>
        <w:rPr>
          <w:rFonts w:hint="eastAsia" w:ascii="Times New Roman" w:hAnsi="Times New Roman" w:eastAsia="仿宋_GB2312" w:cs="仿宋_GB2312"/>
          <w:sz w:val="32"/>
          <w:szCs w:val="32"/>
          <w:lang w:eastAsia="zh-CN"/>
        </w:rPr>
        <w:t xml:space="preserve"> 专项资金由市财政局、市工业和信息化局按职责分工共同使用管理。各市直园区管委会、各县（市、区）财政部门、各县（市、区）工业和信息化主管部门按照职责分工，协同做好专项资金的使用、管理、监督等相关工作。</w:t>
      </w: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（一）市工业和信息化局：</w:t>
      </w:r>
      <w:r>
        <w:rPr>
          <w:rFonts w:hint="eastAsia" w:ascii="Times New Roman" w:hAnsi="Times New Roman" w:eastAsia="仿宋_GB2312" w:cs="仿宋_GB2312"/>
          <w:sz w:val="32"/>
          <w:szCs w:val="32"/>
          <w:lang w:eastAsia="zh-CN"/>
        </w:rPr>
        <w:t>负责根据试点城市申报方案和工业企业数字化转型等相关政策，会同市财政局等相关部门确定专项资金支持方向、支持方式及支持标准；负责专项资金预算执行和绩效管理，科学编制绩效目标并配合做好绩效评价工作；负责提出资金使用计划，牵头组织项目申报、审核和验收；负责做好对各县（市、区）工作的业务指导。</w:t>
      </w: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（二）市财政局：</w:t>
      </w:r>
      <w:r>
        <w:rPr>
          <w:rFonts w:hint="eastAsia" w:ascii="Times New Roman" w:hAnsi="Times New Roman" w:eastAsia="仿宋_GB2312" w:cs="仿宋_GB2312"/>
          <w:sz w:val="32"/>
          <w:szCs w:val="32"/>
          <w:lang w:eastAsia="zh-CN"/>
        </w:rPr>
        <w:t>负责配合市工业和信息化局根据试点城市申报方案和相关政策确定专项资金支持方向、支持方式及支持标准；负责下达专项资金年度预算、绩效目标，根据市工业和信息化局提出的资金使用计划，按程序办理预算下达和资金拨付；负责按照绩效管理相关规定组织开展专项资金财政监督检查和绩效评价等。</w:t>
      </w: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（三）各市直园区管委会及各县（市、区）工业和信息化主管部门：</w:t>
      </w:r>
      <w:r>
        <w:rPr>
          <w:rFonts w:hint="eastAsia" w:ascii="Times New Roman" w:hAnsi="Times New Roman" w:eastAsia="仿宋_GB2312" w:cs="仿宋_GB2312"/>
          <w:sz w:val="32"/>
          <w:szCs w:val="32"/>
          <w:lang w:eastAsia="zh-CN"/>
        </w:rPr>
        <w:t>负责配合做好全市中小企业数字化转型城市试点项目及工业试点企业数字化转型等项目的申报和推荐工作；配合市工业和信息化局等单位开展项目验收工作；会同同级财政部门做好专项资金拨付工作。</w:t>
      </w:r>
    </w:p>
    <w:p>
      <w:pPr>
        <w:widowControl w:val="0"/>
        <w:kinsoku/>
        <w:overflowPunct w:val="0"/>
        <w:autoSpaceDE/>
        <w:autoSpaceDN/>
        <w:spacing w:line="570" w:lineRule="exact"/>
        <w:ind w:firstLine="640" w:firstLineChars="200"/>
        <w:jc w:val="both"/>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（四）各县（市、区）财政部门：</w:t>
      </w:r>
      <w:r>
        <w:rPr>
          <w:rFonts w:hint="eastAsia" w:ascii="Times New Roman" w:hAnsi="Times New Roman" w:eastAsia="仿宋_GB2312" w:cs="仿宋_GB2312"/>
          <w:sz w:val="32"/>
          <w:szCs w:val="32"/>
          <w:lang w:eastAsia="zh-CN"/>
        </w:rPr>
        <w:t>配合同级工业和信息化主管部门做好专项资金拨付工作，确保资金专款专用。</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p>
    <w:p>
      <w:pPr>
        <w:widowControl w:val="0"/>
        <w:kinsoku/>
        <w:overflowPunct w:val="0"/>
        <w:autoSpaceDE/>
        <w:autoSpaceDN/>
        <w:spacing w:line="570" w:lineRule="exact"/>
        <w:jc w:val="center"/>
        <w:outlineLvl w:val="0"/>
        <w:rPr>
          <w:rFonts w:ascii="黑体" w:hAnsi="黑体" w:eastAsia="黑体" w:cs="黑体"/>
          <w:sz w:val="32"/>
          <w:szCs w:val="32"/>
          <w:lang w:eastAsia="zh-CN"/>
        </w:rPr>
      </w:pPr>
      <w:r>
        <w:rPr>
          <w:rFonts w:hint="eastAsia" w:ascii="黑体" w:hAnsi="黑体" w:eastAsia="黑体" w:cs="黑体"/>
          <w:sz w:val="32"/>
          <w:szCs w:val="32"/>
          <w:lang w:eastAsia="zh-CN"/>
        </w:rPr>
        <w:t>第六章 申报与审批</w:t>
      </w:r>
    </w:p>
    <w:p>
      <w:pPr>
        <w:widowControl w:val="0"/>
        <w:kinsoku/>
        <w:overflowPunct w:val="0"/>
        <w:autoSpaceDE/>
        <w:autoSpaceDN/>
        <w:spacing w:line="570" w:lineRule="exact"/>
        <w:ind w:firstLine="640" w:firstLineChars="200"/>
        <w:rPr>
          <w:rFonts w:ascii="黑体" w:hAnsi="黑体" w:eastAsia="黑体" w:cs="黑体"/>
          <w:sz w:val="32"/>
          <w:szCs w:val="32"/>
          <w:lang w:eastAsia="zh-CN"/>
        </w:rPr>
      </w:pP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条</w:t>
      </w:r>
      <w:r>
        <w:rPr>
          <w:rFonts w:hint="eastAsia" w:ascii="Times New Roman" w:hAnsi="Times New Roman" w:eastAsia="仿宋_GB2312" w:cs="仿宋_GB2312"/>
          <w:sz w:val="32"/>
          <w:szCs w:val="32"/>
          <w:lang w:eastAsia="zh-CN"/>
        </w:rPr>
        <w:t xml:space="preserve"> 专项资金的申报与审核按照“自主申报、县（市、区）推荐、专家评审、资格复核、网站公示、政府审批”等程序执行。</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（一）自主申报。</w:t>
      </w:r>
      <w:r>
        <w:rPr>
          <w:rFonts w:hint="eastAsia" w:ascii="Times New Roman" w:hAnsi="Times New Roman" w:eastAsia="仿宋_GB2312" w:cs="仿宋_GB2312"/>
          <w:sz w:val="32"/>
          <w:szCs w:val="32"/>
          <w:lang w:eastAsia="zh-CN"/>
        </w:rPr>
        <w:t>申报主体应按照申报通知，在规定的时间内，按要求向属地的工业和信息化主管部门报送申报文件材料，并提供合同、发票、付款记录等有效凭证。</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（二）县区推荐。</w:t>
      </w:r>
      <w:r>
        <w:rPr>
          <w:rFonts w:hint="eastAsia" w:ascii="Times New Roman" w:hAnsi="Times New Roman" w:eastAsia="仿宋_GB2312" w:cs="仿宋_GB2312"/>
          <w:sz w:val="32"/>
          <w:szCs w:val="32"/>
          <w:lang w:eastAsia="zh-CN"/>
        </w:rPr>
        <w:t>各市直园区管委会及各县（市、区）工业和信息化主管部门对本辖区申报主体报送的材料进行初审，重点审查申报主体是否具备申请资格、申报文件材料是否真实有效等，确保申报材料准确无误，出具推荐意见后上报市工业和信息化局。</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（三）专家评审。</w:t>
      </w:r>
      <w:r>
        <w:rPr>
          <w:rFonts w:hint="eastAsia" w:ascii="Times New Roman" w:hAnsi="Times New Roman" w:eastAsia="仿宋_GB2312" w:cs="仿宋_GB2312"/>
          <w:sz w:val="32"/>
          <w:szCs w:val="32"/>
          <w:lang w:eastAsia="zh-CN"/>
        </w:rPr>
        <w:t>市工业和信息化局组织专家对符合申报条件的项目进行评审，出具评审意见书。</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（四）资格复核。</w:t>
      </w:r>
      <w:r>
        <w:rPr>
          <w:rFonts w:hint="eastAsia" w:ascii="Times New Roman" w:hAnsi="Times New Roman" w:eastAsia="仿宋_GB2312" w:cs="仿宋_GB2312"/>
          <w:sz w:val="32"/>
          <w:szCs w:val="32"/>
          <w:lang w:eastAsia="zh-CN"/>
        </w:rPr>
        <w:t>市工业和信息化局会同市财政局组织相关人员按照申报情况对申报主体相关材料进行复核。</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（五）网站公示。</w:t>
      </w:r>
      <w:r>
        <w:rPr>
          <w:rFonts w:hint="eastAsia" w:ascii="Times New Roman" w:hAnsi="Times New Roman" w:eastAsia="仿宋_GB2312" w:cs="仿宋_GB2312"/>
          <w:sz w:val="32"/>
          <w:szCs w:val="32"/>
          <w:lang w:eastAsia="zh-CN"/>
        </w:rPr>
        <w:t>市工业和信息化局对通过专家评审的项目，报市财政局备案，在市工业和信息化局网站上对拟获得专项资金企业进行公示，公示期不少于5个工作日。</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（六）政府审批。</w:t>
      </w:r>
      <w:r>
        <w:rPr>
          <w:rFonts w:hint="eastAsia" w:ascii="Times New Roman" w:hAnsi="Times New Roman" w:eastAsia="仿宋_GB2312" w:cs="仿宋_GB2312"/>
          <w:sz w:val="32"/>
          <w:szCs w:val="32"/>
          <w:lang w:eastAsia="zh-CN"/>
        </w:rPr>
        <w:t>公示期满无异议后，由市工业和信息化局会同市财政局提报市政府审批。</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p>
    <w:p>
      <w:pPr>
        <w:widowControl w:val="0"/>
        <w:kinsoku/>
        <w:overflowPunct w:val="0"/>
        <w:autoSpaceDE/>
        <w:autoSpaceDN/>
        <w:spacing w:line="570" w:lineRule="exact"/>
        <w:jc w:val="center"/>
        <w:outlineLvl w:val="0"/>
        <w:rPr>
          <w:rFonts w:ascii="黑体" w:hAnsi="黑体" w:eastAsia="黑体" w:cs="黑体"/>
          <w:sz w:val="32"/>
          <w:szCs w:val="32"/>
          <w:lang w:eastAsia="zh-CN"/>
        </w:rPr>
      </w:pPr>
      <w:r>
        <w:rPr>
          <w:rFonts w:hint="eastAsia" w:ascii="黑体" w:hAnsi="黑体" w:eastAsia="黑体" w:cs="黑体"/>
          <w:sz w:val="32"/>
          <w:szCs w:val="32"/>
          <w:lang w:eastAsia="zh-CN"/>
        </w:rPr>
        <w:t>第七章 绩效管理与监督检查</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条</w:t>
      </w:r>
      <w:r>
        <w:rPr>
          <w:rFonts w:hint="eastAsia" w:ascii="Times New Roman" w:hAnsi="Times New Roman" w:eastAsia="仿宋_GB2312" w:cs="仿宋_GB2312"/>
          <w:sz w:val="32"/>
          <w:szCs w:val="32"/>
          <w:lang w:eastAsia="zh-CN"/>
        </w:rPr>
        <w:t xml:space="preserve"> 专项资金原则上采取事后奖补方式，按照市政府批示及有关程序进行拨付。涉及政府采购或政府购买服务的项目，按照相关规定执行。</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条</w:t>
      </w:r>
      <w:r>
        <w:rPr>
          <w:rFonts w:hint="eastAsia" w:ascii="Times New Roman" w:hAnsi="Times New Roman" w:eastAsia="仿宋_GB2312" w:cs="仿宋_GB2312"/>
          <w:sz w:val="32"/>
          <w:szCs w:val="32"/>
          <w:lang w:eastAsia="zh-CN"/>
        </w:rPr>
        <w:t xml:space="preserve"> 市工业和信息化局、市财政局应加强专项资金绩效管理，建立全过程预算绩效管理机制。</w:t>
      </w:r>
    </w:p>
    <w:p>
      <w:pPr>
        <w:widowControl w:val="0"/>
        <w:kinsoku/>
        <w:overflowPunct w:val="0"/>
        <w:autoSpaceDE/>
        <w:autoSpaceDN/>
        <w:spacing w:line="590" w:lineRule="exact"/>
        <w:ind w:firstLine="616" w:firstLineChars="200"/>
        <w:rPr>
          <w:rFonts w:ascii="Times New Roman" w:hAnsi="Times New Roman" w:eastAsia="仿宋_GB2312" w:cs="仿宋_GB2312"/>
          <w:spacing w:val="-6"/>
          <w:sz w:val="32"/>
          <w:szCs w:val="32"/>
          <w:lang w:eastAsia="zh-CN"/>
        </w:rPr>
      </w:pPr>
      <w:r>
        <w:rPr>
          <w:rFonts w:hint="eastAsia" w:ascii="黑体" w:hAnsi="黑体" w:eastAsia="黑体" w:cs="黑体"/>
          <w:spacing w:val="-6"/>
          <w:sz w:val="32"/>
          <w:szCs w:val="32"/>
          <w:lang w:eastAsia="zh-CN"/>
        </w:rPr>
        <w:t>第十</w:t>
      </w:r>
      <w:r>
        <w:rPr>
          <w:rFonts w:hint="eastAsia" w:ascii="黑体" w:hAnsi="黑体" w:eastAsia="黑体" w:cs="黑体"/>
          <w:spacing w:val="-6"/>
          <w:sz w:val="32"/>
          <w:szCs w:val="32"/>
          <w:lang w:val="en-US" w:eastAsia="zh-CN"/>
        </w:rPr>
        <w:t>八</w:t>
      </w:r>
      <w:r>
        <w:rPr>
          <w:rFonts w:hint="eastAsia" w:ascii="黑体" w:hAnsi="黑体" w:eastAsia="黑体" w:cs="黑体"/>
          <w:spacing w:val="-6"/>
          <w:sz w:val="32"/>
          <w:szCs w:val="32"/>
          <w:lang w:eastAsia="zh-CN"/>
        </w:rPr>
        <w:t>条</w:t>
      </w:r>
      <w:r>
        <w:rPr>
          <w:rFonts w:hint="eastAsia" w:ascii="Times New Roman" w:hAnsi="Times New Roman" w:eastAsia="仿宋_GB2312" w:cs="仿宋_GB2312"/>
          <w:spacing w:val="-6"/>
          <w:sz w:val="32"/>
          <w:szCs w:val="32"/>
          <w:lang w:eastAsia="zh-CN"/>
        </w:rPr>
        <w:t xml:space="preserve"> 市工业和信息化局会同市财政局对专项资金的使用情况开展监督检查，也可依照法定程序委托第三方机构进行核查。</w:t>
      </w:r>
    </w:p>
    <w:p>
      <w:pPr>
        <w:widowControl w:val="0"/>
        <w:kinsoku/>
        <w:overflowPunct w:val="0"/>
        <w:autoSpaceDE/>
        <w:autoSpaceDN/>
        <w:spacing w:line="590" w:lineRule="exact"/>
        <w:ind w:firstLine="640" w:firstLineChars="200"/>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条</w:t>
      </w:r>
      <w:r>
        <w:rPr>
          <w:rFonts w:hint="eastAsia" w:ascii="Times New Roman" w:hAnsi="Times New Roman" w:eastAsia="仿宋_GB2312" w:cs="仿宋_GB2312"/>
          <w:sz w:val="32"/>
          <w:szCs w:val="32"/>
          <w:lang w:eastAsia="zh-CN"/>
        </w:rPr>
        <w:t xml:space="preserve"> 各市直园区管委会及各县（市、区）工业和信息化主管部门应加强对改造项目进度和目标完成等情况的监督检查，项目实施效果与原定绩效目标发生偏离的应及时整改，情况严重的暂缓或停止项目执行。</w:t>
      </w:r>
    </w:p>
    <w:p>
      <w:pPr>
        <w:widowControl w:val="0"/>
        <w:kinsoku/>
        <w:overflowPunct w:val="0"/>
        <w:autoSpaceDE/>
        <w:autoSpaceDN/>
        <w:spacing w:line="590" w:lineRule="exact"/>
        <w:ind w:firstLine="640" w:firstLineChars="200"/>
        <w:jc w:val="both"/>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二十</w:t>
      </w:r>
      <w:r>
        <w:rPr>
          <w:rFonts w:hint="eastAsia" w:ascii="黑体" w:hAnsi="黑体" w:eastAsia="黑体" w:cs="黑体"/>
          <w:sz w:val="32"/>
          <w:szCs w:val="32"/>
          <w:lang w:eastAsia="zh-CN"/>
        </w:rPr>
        <w:t>条</w:t>
      </w:r>
      <w:r>
        <w:rPr>
          <w:rFonts w:hint="eastAsia" w:ascii="Times New Roman" w:hAnsi="Times New Roman" w:eastAsia="仿宋_GB2312" w:cs="仿宋_GB2312"/>
          <w:sz w:val="32"/>
          <w:szCs w:val="32"/>
          <w:lang w:eastAsia="zh-CN"/>
        </w:rPr>
        <w:t xml:space="preserve"> 申报主体应按照相关要求，配合工业和信息化部门和财政部门做好项目监理、评测验收、专项审计、绩效评价、宣传推广等相关工作。</w:t>
      </w:r>
    </w:p>
    <w:p>
      <w:pPr>
        <w:widowControl w:val="0"/>
        <w:kinsoku/>
        <w:overflowPunct w:val="0"/>
        <w:autoSpaceDE/>
        <w:autoSpaceDN/>
        <w:spacing w:line="590" w:lineRule="exact"/>
        <w:ind w:firstLine="640" w:firstLineChars="200"/>
        <w:jc w:val="both"/>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第二十</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条</w:t>
      </w:r>
      <w:r>
        <w:rPr>
          <w:rFonts w:hint="eastAsia" w:ascii="Times New Roman" w:hAnsi="Times New Roman" w:eastAsia="仿宋_GB2312" w:cs="仿宋_GB2312"/>
          <w:sz w:val="32"/>
          <w:szCs w:val="32"/>
          <w:lang w:eastAsia="zh-CN"/>
        </w:rPr>
        <w:t xml:space="preserve"> 申报主体应遵循诚实信用原则如实申报，对申报材料的真实性、合规性、完整性负责，</w:t>
      </w:r>
      <w:r>
        <w:rPr>
          <w:rFonts w:hint="eastAsia" w:ascii="仿宋_GB2312" w:eastAsia="仿宋_GB2312"/>
          <w:sz w:val="32"/>
          <w:szCs w:val="32"/>
          <w:lang w:eastAsia="zh-CN"/>
        </w:rPr>
        <w:t>严格执行各项财经法律法规，自觉接受财政、审计等部门的监督检查。</w:t>
      </w:r>
      <w:r>
        <w:rPr>
          <w:rFonts w:hint="eastAsia" w:ascii="Times New Roman" w:hAnsi="Times New Roman" w:eastAsia="仿宋_GB2312" w:cs="仿宋_GB2312"/>
          <w:sz w:val="32"/>
          <w:szCs w:val="32"/>
          <w:lang w:eastAsia="zh-CN"/>
        </w:rPr>
        <w:t>对</w:t>
      </w:r>
      <w:r>
        <w:rPr>
          <w:rFonts w:hint="eastAsia" w:ascii="仿宋_GB2312" w:eastAsia="仿宋_GB2312"/>
          <w:sz w:val="32"/>
          <w:szCs w:val="32"/>
          <w:lang w:eastAsia="zh-CN"/>
        </w:rPr>
        <w:t>发现以下违反规定申报或使用补助资金以及其他违法违纪行为的</w:t>
      </w:r>
      <w:r>
        <w:rPr>
          <w:rFonts w:hint="eastAsia" w:ascii="Times New Roman" w:hAnsi="Times New Roman" w:eastAsia="仿宋_GB2312" w:cs="仿宋_GB2312"/>
          <w:sz w:val="32"/>
          <w:szCs w:val="32"/>
          <w:lang w:eastAsia="zh-CN"/>
        </w:rPr>
        <w:t>申报主体</w:t>
      </w:r>
      <w:r>
        <w:rPr>
          <w:rFonts w:hint="eastAsia" w:ascii="仿宋_GB2312" w:eastAsia="仿宋_GB2312"/>
          <w:sz w:val="32"/>
          <w:szCs w:val="32"/>
          <w:lang w:eastAsia="zh-CN"/>
        </w:rPr>
        <w:t>，公开通报并</w:t>
      </w:r>
      <w:r>
        <w:rPr>
          <w:rFonts w:hint="eastAsia" w:ascii="Times New Roman" w:hAnsi="Times New Roman" w:eastAsia="仿宋_GB2312" w:cs="仿宋_GB2312"/>
          <w:sz w:val="32"/>
          <w:szCs w:val="32"/>
          <w:lang w:eastAsia="zh-CN"/>
        </w:rPr>
        <w:t>取消其申报资格，追回其已获得的专项资金，视情节严重程度，一到三年内不准参加有关项目申报；涉嫌违法犯罪的依法移交有关部门处理。</w:t>
      </w:r>
    </w:p>
    <w:p>
      <w:pPr>
        <w:widowControl w:val="0"/>
        <w:kinsoku/>
        <w:overflowPunct w:val="0"/>
        <w:autoSpaceDE/>
        <w:autoSpaceDN/>
        <w:spacing w:line="590" w:lineRule="exact"/>
        <w:ind w:firstLine="640" w:firstLineChars="200"/>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（一）</w:t>
      </w:r>
      <w:r>
        <w:rPr>
          <w:rFonts w:hint="eastAsia" w:ascii="Times New Roman" w:hAnsi="Times New Roman" w:eastAsia="仿宋_GB2312" w:cs="仿宋_GB2312"/>
          <w:sz w:val="32"/>
          <w:szCs w:val="32"/>
          <w:lang w:eastAsia="zh-CN"/>
        </w:rPr>
        <w:t>编制虚假申报材料，以虚报、冒领等手段骗取套取专项资金的；</w:t>
      </w:r>
    </w:p>
    <w:p>
      <w:pPr>
        <w:widowControl w:val="0"/>
        <w:kinsoku/>
        <w:overflowPunct w:val="0"/>
        <w:autoSpaceDE/>
        <w:autoSpaceDN/>
        <w:spacing w:line="590" w:lineRule="exact"/>
        <w:ind w:firstLine="640" w:firstLineChars="200"/>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（二）</w:t>
      </w:r>
      <w:r>
        <w:rPr>
          <w:rFonts w:hint="eastAsia" w:ascii="Times New Roman" w:hAnsi="Times New Roman" w:eastAsia="仿宋_GB2312" w:cs="仿宋_GB2312"/>
          <w:sz w:val="32"/>
          <w:szCs w:val="32"/>
          <w:lang w:eastAsia="zh-CN"/>
        </w:rPr>
        <w:t>未严格按照资金支出范围使用专项资金的；</w:t>
      </w:r>
    </w:p>
    <w:p>
      <w:pPr>
        <w:widowControl w:val="0"/>
        <w:kinsoku/>
        <w:overflowPunct w:val="0"/>
        <w:autoSpaceDE/>
        <w:autoSpaceDN/>
        <w:spacing w:line="590" w:lineRule="exact"/>
        <w:ind w:firstLine="640" w:firstLineChars="200"/>
        <w:rPr>
          <w:rFonts w:ascii="Times New Roman" w:hAnsi="Times New Roman" w:eastAsia="仿宋_GB2312" w:cs="仿宋_GB2312"/>
          <w:sz w:val="32"/>
          <w:szCs w:val="32"/>
          <w:lang w:eastAsia="zh-CN"/>
        </w:rPr>
      </w:pPr>
      <w:r>
        <w:rPr>
          <w:rFonts w:hint="eastAsia" w:ascii="楷体_GB2312" w:hAnsi="楷体_GB2312" w:eastAsia="楷体_GB2312" w:cs="楷体_GB2312"/>
          <w:sz w:val="32"/>
          <w:szCs w:val="32"/>
          <w:lang w:eastAsia="zh-CN"/>
        </w:rPr>
        <w:t>（三）</w:t>
      </w:r>
      <w:r>
        <w:rPr>
          <w:rFonts w:hint="eastAsia" w:ascii="Times New Roman" w:hAnsi="Times New Roman" w:eastAsia="仿宋_GB2312" w:cs="仿宋_GB2312"/>
          <w:sz w:val="32"/>
          <w:szCs w:val="32"/>
          <w:lang w:eastAsia="zh-CN"/>
        </w:rPr>
        <w:t>因管理不善造成专项资金和国家资产损失浪费的；</w:t>
      </w:r>
    </w:p>
    <w:p>
      <w:pPr>
        <w:widowControl w:val="0"/>
        <w:kinsoku/>
        <w:overflowPunct w:val="0"/>
        <w:autoSpaceDE/>
        <w:autoSpaceDN/>
        <w:spacing w:line="590" w:lineRule="exact"/>
        <w:ind w:firstLine="640" w:firstLineChars="20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楷体_GB2312" w:hAnsi="楷体_GB2312" w:eastAsia="楷体_GB2312" w:cs="楷体_GB2312"/>
          <w:sz w:val="32"/>
          <w:szCs w:val="32"/>
          <w:lang w:eastAsia="zh-CN"/>
        </w:rPr>
        <w:t>四</w:t>
      </w:r>
      <w:r>
        <w:rPr>
          <w:rFonts w:hint="eastAsia" w:ascii="Times New Roman" w:hAnsi="Times New Roman" w:eastAsia="仿宋_GB2312" w:cs="仿宋_GB2312"/>
          <w:sz w:val="32"/>
          <w:szCs w:val="32"/>
          <w:lang w:eastAsia="zh-CN"/>
        </w:rPr>
        <w:t>）经绩效评价，专项资金使用低效、无效的；</w:t>
      </w:r>
    </w:p>
    <w:p>
      <w:pPr>
        <w:widowControl w:val="0"/>
        <w:kinsoku/>
        <w:overflowPunct w:val="0"/>
        <w:autoSpaceDE/>
        <w:autoSpaceDN/>
        <w:spacing w:line="590" w:lineRule="exact"/>
        <w:ind w:firstLine="640" w:firstLineChars="20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楷体_GB2312" w:hAnsi="楷体_GB2312" w:eastAsia="楷体_GB2312" w:cs="楷体_GB2312"/>
          <w:sz w:val="32"/>
          <w:szCs w:val="32"/>
          <w:lang w:eastAsia="zh-CN"/>
        </w:rPr>
        <w:t>五</w:t>
      </w:r>
      <w:r>
        <w:rPr>
          <w:rFonts w:hint="eastAsia" w:ascii="Times New Roman" w:hAnsi="Times New Roman" w:eastAsia="仿宋_GB2312" w:cs="仿宋_GB2312"/>
          <w:sz w:val="32"/>
          <w:szCs w:val="32"/>
          <w:lang w:eastAsia="zh-CN"/>
        </w:rPr>
        <w:t>）其他违反国家财经纪律的行为。</w:t>
      </w:r>
    </w:p>
    <w:p>
      <w:pPr>
        <w:widowControl w:val="0"/>
        <w:kinsoku/>
        <w:overflowPunct w:val="0"/>
        <w:autoSpaceDE/>
        <w:autoSpaceDN/>
        <w:spacing w:line="570" w:lineRule="exact"/>
        <w:rPr>
          <w:rFonts w:ascii="Times New Roman" w:hAnsi="Times New Roman" w:eastAsia="仿宋_GB2312" w:cs="仿宋_GB2312"/>
          <w:sz w:val="32"/>
          <w:szCs w:val="32"/>
          <w:lang w:eastAsia="zh-CN"/>
        </w:rPr>
      </w:pPr>
    </w:p>
    <w:p>
      <w:pPr>
        <w:widowControl w:val="0"/>
        <w:kinsoku/>
        <w:overflowPunct w:val="0"/>
        <w:autoSpaceDE/>
        <w:autoSpaceDN/>
        <w:spacing w:line="570" w:lineRule="exact"/>
        <w:jc w:val="center"/>
        <w:outlineLvl w:val="0"/>
        <w:rPr>
          <w:rFonts w:ascii="黑体" w:hAnsi="黑体" w:eastAsia="黑体" w:cs="黑体"/>
          <w:sz w:val="32"/>
          <w:szCs w:val="32"/>
          <w:lang w:eastAsia="zh-CN"/>
        </w:rPr>
      </w:pPr>
      <w:r>
        <w:rPr>
          <w:rFonts w:hint="eastAsia" w:ascii="黑体" w:hAnsi="黑体" w:eastAsia="黑体" w:cs="黑体"/>
          <w:sz w:val="32"/>
          <w:szCs w:val="32"/>
          <w:lang w:eastAsia="zh-CN"/>
        </w:rPr>
        <w:t>第八章 附则</w:t>
      </w: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p>
    <w:p>
      <w:pPr>
        <w:widowControl w:val="0"/>
        <w:kinsoku/>
        <w:overflowPunct w:val="0"/>
        <w:autoSpaceDE/>
        <w:autoSpaceDN/>
        <w:spacing w:line="570" w:lineRule="exact"/>
        <w:ind w:firstLine="640" w:firstLineChars="200"/>
        <w:rPr>
          <w:rFonts w:ascii="Times New Roman" w:hAnsi="Times New Roman" w:eastAsia="仿宋_GB2312" w:cs="仿宋_GB2312"/>
          <w:sz w:val="32"/>
          <w:szCs w:val="32"/>
          <w:lang w:eastAsia="zh-CN"/>
        </w:rPr>
      </w:pPr>
      <w:r>
        <w:rPr>
          <w:rFonts w:hint="eastAsia" w:ascii="黑体" w:hAnsi="黑体" w:eastAsia="黑体" w:cs="黑体"/>
          <w:sz w:val="32"/>
          <w:szCs w:val="32"/>
          <w:lang w:eastAsia="zh-CN"/>
        </w:rPr>
        <w:t>第二十</w:t>
      </w: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条</w:t>
      </w:r>
      <w:r>
        <w:rPr>
          <w:rFonts w:hint="eastAsia" w:ascii="Times New Roman" w:hAnsi="Times New Roman" w:eastAsia="仿宋_GB2312" w:cs="仿宋_GB2312"/>
          <w:sz w:val="32"/>
          <w:szCs w:val="32"/>
          <w:lang w:eastAsia="zh-CN"/>
        </w:rPr>
        <w:t xml:space="preserve"> 本办法自印发之日起试行，有效期至玉林市中小企业数字化转型城市试点实施期结束</w:t>
      </w:r>
      <w:r>
        <w:rPr>
          <w:rFonts w:hint="eastAsia" w:ascii="仿宋_GB2312" w:eastAsia="仿宋_GB2312"/>
          <w:sz w:val="32"/>
          <w:szCs w:val="32"/>
          <w:lang w:eastAsia="zh-CN"/>
        </w:rPr>
        <w:t>，由</w:t>
      </w:r>
      <w:r>
        <w:rPr>
          <w:rFonts w:hint="eastAsia" w:ascii="Times New Roman" w:hAnsi="Times New Roman" w:eastAsia="仿宋_GB2312" w:cs="仿宋_GB2312"/>
          <w:sz w:val="32"/>
          <w:szCs w:val="32"/>
          <w:lang w:eastAsia="zh-CN"/>
        </w:rPr>
        <w:t>市工业和信息化局、市财政局</w:t>
      </w:r>
      <w:r>
        <w:rPr>
          <w:rFonts w:hint="eastAsia" w:ascii="仿宋_GB2312" w:eastAsia="仿宋_GB2312"/>
          <w:sz w:val="32"/>
          <w:szCs w:val="32"/>
          <w:lang w:eastAsia="zh-CN"/>
        </w:rPr>
        <w:t>负责解释和修订</w:t>
      </w:r>
      <w:r>
        <w:rPr>
          <w:rFonts w:hint="eastAsia" w:ascii="Times New Roman" w:hAnsi="Times New Roman" w:eastAsia="仿宋_GB2312" w:cs="仿宋_GB2312"/>
          <w:sz w:val="32"/>
          <w:szCs w:val="32"/>
          <w:lang w:eastAsia="zh-CN"/>
        </w:rPr>
        <w:t>。</w:t>
      </w:r>
    </w:p>
    <w:p>
      <w:pPr>
        <w:widowControl w:val="0"/>
        <w:kinsoku/>
        <w:overflowPunct w:val="0"/>
        <w:autoSpaceDE/>
        <w:autoSpaceDN/>
        <w:spacing w:line="570" w:lineRule="exact"/>
        <w:rPr>
          <w:lang w:eastAsia="zh-CN"/>
        </w:rPr>
      </w:pPr>
      <w:bookmarkStart w:id="4" w:name="_GoBack"/>
      <w:bookmarkEnd w:id="4"/>
    </w:p>
    <w:sectPr>
      <w:footerReference r:id="rId3" w:type="default"/>
      <w:pgSz w:w="11906" w:h="16838"/>
      <w:pgMar w:top="170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rPr>
        <w:rFonts w:ascii="Times New Roman" w:hAnsi="Times New Roman" w:eastAsia="Times New Roman" w:cs="Times New Roman"/>
        <w:sz w:val="28"/>
        <w:szCs w:val="28"/>
      </w:rPr>
    </w:pPr>
    <w:r>
      <w:rPr>
        <w:sz w:val="28"/>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DB"/>
    <w:rsid w:val="000731AC"/>
    <w:rsid w:val="00074DE0"/>
    <w:rsid w:val="00095EAF"/>
    <w:rsid w:val="000A7971"/>
    <w:rsid w:val="00101A7B"/>
    <w:rsid w:val="00167059"/>
    <w:rsid w:val="00184400"/>
    <w:rsid w:val="001B42DB"/>
    <w:rsid w:val="001D095C"/>
    <w:rsid w:val="00221100"/>
    <w:rsid w:val="002A224B"/>
    <w:rsid w:val="00367118"/>
    <w:rsid w:val="003A75C4"/>
    <w:rsid w:val="00425E25"/>
    <w:rsid w:val="00454974"/>
    <w:rsid w:val="004E2675"/>
    <w:rsid w:val="004F524D"/>
    <w:rsid w:val="005362D6"/>
    <w:rsid w:val="00566D28"/>
    <w:rsid w:val="0059086F"/>
    <w:rsid w:val="00601B25"/>
    <w:rsid w:val="00645A0D"/>
    <w:rsid w:val="00706785"/>
    <w:rsid w:val="00734412"/>
    <w:rsid w:val="00741B47"/>
    <w:rsid w:val="00782E4C"/>
    <w:rsid w:val="0079192D"/>
    <w:rsid w:val="007D2B0F"/>
    <w:rsid w:val="007E5787"/>
    <w:rsid w:val="0086358F"/>
    <w:rsid w:val="00885519"/>
    <w:rsid w:val="008964A9"/>
    <w:rsid w:val="008B519E"/>
    <w:rsid w:val="008C2702"/>
    <w:rsid w:val="008D089A"/>
    <w:rsid w:val="008E4242"/>
    <w:rsid w:val="00901426"/>
    <w:rsid w:val="00922E9D"/>
    <w:rsid w:val="009254C3"/>
    <w:rsid w:val="00936934"/>
    <w:rsid w:val="009D433F"/>
    <w:rsid w:val="009F4168"/>
    <w:rsid w:val="00A91308"/>
    <w:rsid w:val="00AA62CF"/>
    <w:rsid w:val="00B51FAE"/>
    <w:rsid w:val="00B619F2"/>
    <w:rsid w:val="00B73AEB"/>
    <w:rsid w:val="00BA1BBA"/>
    <w:rsid w:val="00BC0D22"/>
    <w:rsid w:val="00D0382D"/>
    <w:rsid w:val="00E66CE2"/>
    <w:rsid w:val="00E80F79"/>
    <w:rsid w:val="00EB3572"/>
    <w:rsid w:val="00EB4703"/>
    <w:rsid w:val="00EC3091"/>
    <w:rsid w:val="00EC3EE5"/>
    <w:rsid w:val="00F45931"/>
    <w:rsid w:val="0629508C"/>
    <w:rsid w:val="0B772070"/>
    <w:rsid w:val="0BDE5E3F"/>
    <w:rsid w:val="0C875B76"/>
    <w:rsid w:val="0F706AF9"/>
    <w:rsid w:val="18AA7EAD"/>
    <w:rsid w:val="1BE10BC8"/>
    <w:rsid w:val="1CED5883"/>
    <w:rsid w:val="1D346F57"/>
    <w:rsid w:val="207630BE"/>
    <w:rsid w:val="296960FC"/>
    <w:rsid w:val="2ABF481F"/>
    <w:rsid w:val="37227682"/>
    <w:rsid w:val="3BF65E7B"/>
    <w:rsid w:val="3FAA4B03"/>
    <w:rsid w:val="4E977CDF"/>
    <w:rsid w:val="541D05E2"/>
    <w:rsid w:val="57373623"/>
    <w:rsid w:val="5A630ABB"/>
    <w:rsid w:val="5D8C767E"/>
    <w:rsid w:val="5E17116A"/>
    <w:rsid w:val="5F5F2786"/>
    <w:rsid w:val="62E16B45"/>
    <w:rsid w:val="652C356B"/>
    <w:rsid w:val="67A328C8"/>
    <w:rsid w:val="692E75B1"/>
    <w:rsid w:val="6D435A4F"/>
    <w:rsid w:val="6DA85BDA"/>
    <w:rsid w:val="724A7260"/>
    <w:rsid w:val="76AA441E"/>
    <w:rsid w:val="78DA5F96"/>
    <w:rsid w:val="7B3A4316"/>
    <w:rsid w:val="7BBA0FB3"/>
    <w:rsid w:val="7BEC3136"/>
    <w:rsid w:val="7C503DBB"/>
    <w:rsid w:val="7EFEF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Balloon Text"/>
    <w:basedOn w:val="1"/>
    <w:link w:val="9"/>
    <w:semiHidden/>
    <w:unhideWhenUsed/>
    <w:qFormat/>
    <w:uiPriority w:val="99"/>
    <w:rPr>
      <w:sz w:val="18"/>
      <w:szCs w:val="18"/>
    </w:rPr>
  </w:style>
  <w:style w:type="paragraph" w:styleId="4">
    <w:name w:val="footer"/>
    <w:basedOn w:val="1"/>
    <w:link w:val="8"/>
    <w:qFormat/>
    <w:uiPriority w:val="0"/>
    <w:pPr>
      <w:tabs>
        <w:tab w:val="center" w:pos="4153"/>
        <w:tab w:val="right" w:pos="8306"/>
      </w:tabs>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customStyle="1" w:styleId="8">
    <w:name w:val="页脚 Char"/>
    <w:basedOn w:val="7"/>
    <w:link w:val="4"/>
    <w:qFormat/>
    <w:uiPriority w:val="0"/>
    <w:rPr>
      <w:rFonts w:ascii="Arial" w:hAnsi="Arial" w:eastAsia="Arial" w:cs="Arial"/>
      <w:snapToGrid w:val="0"/>
      <w:color w:val="000000"/>
      <w:kern w:val="0"/>
      <w:sz w:val="18"/>
      <w:szCs w:val="21"/>
      <w:lang w:eastAsia="en-US"/>
    </w:rPr>
  </w:style>
  <w:style w:type="character" w:customStyle="1" w:styleId="9">
    <w:name w:val="批注框文本 Char"/>
    <w:basedOn w:val="7"/>
    <w:link w:val="3"/>
    <w:semiHidden/>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705</Words>
  <Characters>4019</Characters>
  <Lines>33</Lines>
  <Paragraphs>9</Paragraphs>
  <TotalTime>8</TotalTime>
  <ScaleCrop>false</ScaleCrop>
  <LinksUpToDate>false</LinksUpToDate>
  <CharactersWithSpaces>4715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2025-09-05T09:55:00Z</dcterms:created>
  <dc:creator>xb21cn</dc:creator>
  <cp:lastModifiedBy>gxxc</cp:lastModifiedBy>
  <cp:lastPrinted>2025-09-04T16:05:00Z</cp:lastPrinted>
  <dcterms:modified xsi:type="dcterms:W3CDTF">2025-09-08T08:38:42Z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eyJoZGlkIjoiNmU5YzNkMDRjZjQyYzRjNmU0MjIxNzQ2MGY2NzljMjkiLCJ1c2VySWQiOiI1Nzg1NDA0MTMifQ==</vt:lpwstr>
  </property>
  <property fmtid="{D5CDD505-2E9C-101B-9397-08002B2CF9AE}" pid="3" name="KSOProductBuildVer">
    <vt:lpwstr>2052-11.8.2.10489</vt:lpwstr>
  </property>
  <property fmtid="{D5CDD505-2E9C-101B-9397-08002B2CF9AE}" pid="4" name="ICV">
    <vt:lpwstr>D7586E144BE3412888477F06E7A28FF2_13</vt:lpwstr>
  </property>
</Properties>
</file>